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17986" w14:textId="77777777" w:rsidR="00EA2FCC" w:rsidRDefault="00EA2FCC" w:rsidP="00EA2FCC">
      <w:pPr>
        <w:pStyle w:val="Heading2"/>
        <w:spacing w:before="0" w:line="360" w:lineRule="auto"/>
      </w:pPr>
      <w:r>
        <w:t>2 Protocol Amendments</w:t>
      </w:r>
    </w:p>
    <w:p w14:paraId="53CFCB2B" w14:textId="77777777" w:rsidR="00EA2FCC" w:rsidRDefault="00EA2FCC" w:rsidP="00EA2FCC">
      <w:pPr>
        <w:pStyle w:val="NoSpacing"/>
      </w:pPr>
    </w:p>
    <w:p w14:paraId="65B20104" w14:textId="77777777" w:rsidR="00EA2FCC" w:rsidRPr="003F08B5" w:rsidRDefault="00EA2FCC" w:rsidP="00EA2FCC">
      <w:pPr>
        <w:pStyle w:val="NoSpacing"/>
        <w:rPr>
          <w:b/>
        </w:rPr>
      </w:pPr>
      <w:r w:rsidRPr="003F08B5">
        <w:rPr>
          <w:b/>
        </w:rPr>
        <w:t>Amendments/administrative changes made to the study protocol since original approval.</w:t>
      </w:r>
    </w:p>
    <w:p w14:paraId="78DDF2D5" w14:textId="77777777" w:rsidR="00EA2FCC" w:rsidRPr="00BE75F1" w:rsidRDefault="00EA2FCC" w:rsidP="00EA2FCC">
      <w:pPr>
        <w:pStyle w:val="Body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9209" w:type="dxa"/>
        <w:shd w:val="clear" w:color="auto" w:fill="FFFFFF"/>
        <w:tblLook w:val="0000" w:firstRow="0" w:lastRow="0" w:firstColumn="0" w:lastColumn="0" w:noHBand="0" w:noVBand="0"/>
      </w:tblPr>
      <w:tblGrid>
        <w:gridCol w:w="1923"/>
        <w:gridCol w:w="1200"/>
        <w:gridCol w:w="6086"/>
      </w:tblGrid>
      <w:tr w:rsidR="00EA2FCC" w:rsidRPr="00382303" w14:paraId="2106A7E0" w14:textId="77777777" w:rsidTr="00EE0A0A">
        <w:trPr>
          <w:cantSplit/>
          <w:trHeight w:val="539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9C34C" w14:textId="77777777" w:rsidR="00EA2FCC" w:rsidRPr="00C92289" w:rsidRDefault="00EA2FCC" w:rsidP="00EE0A0A">
            <w:pPr>
              <w:rPr>
                <w:b/>
                <w:u w:color="000000"/>
              </w:rPr>
            </w:pPr>
            <w:bookmarkStart w:id="0" w:name="_Toc373487387"/>
            <w:r w:rsidRPr="00C92289">
              <w:rPr>
                <w:b/>
                <w:u w:color="000000"/>
              </w:rPr>
              <w:t>Date of Amendment</w:t>
            </w:r>
            <w:bookmarkEnd w:id="0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6266E" w14:textId="77777777" w:rsidR="00EA2FCC" w:rsidRPr="00C92289" w:rsidRDefault="00EA2FCC" w:rsidP="00EE0A0A">
            <w:pPr>
              <w:rPr>
                <w:b/>
                <w:u w:color="000000"/>
              </w:rPr>
            </w:pPr>
            <w:bookmarkStart w:id="1" w:name="_Toc373487388"/>
            <w:r w:rsidRPr="00C92289">
              <w:rPr>
                <w:b/>
                <w:u w:color="000000"/>
              </w:rPr>
              <w:t>Protocol Version No.</w:t>
            </w:r>
            <w:bookmarkEnd w:id="1"/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D327D" w14:textId="77777777" w:rsidR="00EA2FCC" w:rsidRPr="00C92289" w:rsidRDefault="00EA2FCC" w:rsidP="00EE0A0A">
            <w:pPr>
              <w:rPr>
                <w:rFonts w:eastAsia="ヒラギノ角ゴ Pro W3"/>
                <w:b/>
                <w:color w:val="000000"/>
                <w:u w:color="000000"/>
              </w:rPr>
            </w:pPr>
            <w:r w:rsidRPr="00C92289">
              <w:rPr>
                <w:rFonts w:eastAsia="ヒラギノ角ゴ Pro W3"/>
                <w:b/>
                <w:color w:val="000000"/>
                <w:u w:color="000000"/>
              </w:rPr>
              <w:t>Description of change</w:t>
            </w:r>
          </w:p>
        </w:tc>
      </w:tr>
      <w:tr w:rsidR="00EA2FCC" w:rsidRPr="00382303" w14:paraId="3BD5854E" w14:textId="77777777" w:rsidTr="00EE0A0A">
        <w:trPr>
          <w:cantSplit/>
          <w:trHeight w:val="79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F446" w14:textId="77777777" w:rsidR="00EA2FCC" w:rsidRPr="00551DD7" w:rsidRDefault="00EA2FCC" w:rsidP="00EE0A0A">
            <w:pPr>
              <w:rPr>
                <w:u w:color="000000"/>
              </w:rPr>
            </w:pPr>
            <w:r w:rsidRPr="00551DD7">
              <w:rPr>
                <w:u w:color="000000"/>
              </w:rPr>
              <w:t>28 January 2014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1E83D" w14:textId="77777777" w:rsidR="00EA2FCC" w:rsidRPr="00551DD7" w:rsidRDefault="00EA2FCC" w:rsidP="00EE0A0A">
            <w:pPr>
              <w:rPr>
                <w:u w:color="000000"/>
              </w:rPr>
            </w:pPr>
            <w:r>
              <w:rPr>
                <w:u w:color="000000"/>
              </w:rPr>
              <w:t>2.0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73896" w14:textId="77777777" w:rsidR="00EA2FCC" w:rsidRPr="00551DD7" w:rsidRDefault="00EA2FCC" w:rsidP="00EE0A0A">
            <w:pPr>
              <w:rPr>
                <w:rFonts w:eastAsia="ヒラギノ角ゴ Pro W3"/>
                <w:color w:val="000000"/>
                <w:u w:color="000000"/>
              </w:rPr>
            </w:pPr>
            <w:r w:rsidRPr="00551DD7">
              <w:rPr>
                <w:rFonts w:eastAsia="ヒラギノ角ゴ Pro W3"/>
                <w:color w:val="000000"/>
                <w:u w:color="000000"/>
              </w:rPr>
              <w:t>1. Clarifying the end date of the study between different documents</w:t>
            </w:r>
          </w:p>
          <w:p w14:paraId="41C2B6D2" w14:textId="77777777" w:rsidR="00EA2FCC" w:rsidRPr="00551DD7" w:rsidRDefault="00EA2FCC" w:rsidP="00EE0A0A">
            <w:pPr>
              <w:rPr>
                <w:rFonts w:eastAsia="ヒラギノ角ゴ Pro W3"/>
                <w:color w:val="000000"/>
                <w:u w:color="000000"/>
              </w:rPr>
            </w:pPr>
            <w:r w:rsidRPr="00551DD7">
              <w:rPr>
                <w:rFonts w:eastAsia="ヒラギノ角ゴ Pro W3"/>
                <w:color w:val="000000"/>
                <w:u w:color="000000"/>
              </w:rPr>
              <w:t>2. Amending the protocol in line with final changes with the grant body and end date of study.</w:t>
            </w:r>
          </w:p>
          <w:p w14:paraId="65EC7871" w14:textId="77777777" w:rsidR="00EA2FCC" w:rsidRPr="00551DD7" w:rsidRDefault="00EA2FCC" w:rsidP="00EE0A0A">
            <w:pPr>
              <w:rPr>
                <w:rFonts w:eastAsia="ヒラギノ角ゴ Pro W3"/>
              </w:rPr>
            </w:pPr>
            <w:r w:rsidRPr="00551DD7">
              <w:rPr>
                <w:rFonts w:eastAsia="ヒラギノ角ゴ Pro W3"/>
              </w:rPr>
              <w:t xml:space="preserve">3. Use of EQ-5D 5 level rather than 3 level </w:t>
            </w:r>
            <w:proofErr w:type="gramStart"/>
            <w:r w:rsidRPr="00551DD7">
              <w:rPr>
                <w:rFonts w:eastAsia="ヒラギノ角ゴ Pro W3"/>
              </w:rPr>
              <w:t>questionnaire</w:t>
            </w:r>
            <w:proofErr w:type="gramEnd"/>
          </w:p>
        </w:tc>
      </w:tr>
      <w:tr w:rsidR="00EA2FCC" w:rsidRPr="00382303" w14:paraId="575D0252" w14:textId="77777777" w:rsidTr="00EE0A0A">
        <w:trPr>
          <w:cantSplit/>
          <w:trHeight w:val="79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7DDA7" w14:textId="77777777" w:rsidR="00EA2FCC" w:rsidRPr="00551DD7" w:rsidRDefault="00EA2FCC" w:rsidP="00EE0A0A">
            <w:pPr>
              <w:rPr>
                <w:u w:color="000000"/>
              </w:rPr>
            </w:pPr>
            <w:r w:rsidRPr="00551DD7">
              <w:rPr>
                <w:u w:color="000000"/>
              </w:rPr>
              <w:t>10</w:t>
            </w:r>
            <w:r w:rsidRPr="00551DD7">
              <w:rPr>
                <w:u w:color="000000"/>
                <w:vertAlign w:val="superscript"/>
              </w:rPr>
              <w:t>th</w:t>
            </w:r>
            <w:r w:rsidRPr="00551DD7">
              <w:rPr>
                <w:u w:color="000000"/>
              </w:rPr>
              <w:t xml:space="preserve"> June 2014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EFAC0" w14:textId="77777777" w:rsidR="00EA2FCC" w:rsidRPr="00551DD7" w:rsidRDefault="00EA2FCC" w:rsidP="00EE0A0A">
            <w:pPr>
              <w:rPr>
                <w:u w:color="000000"/>
              </w:rPr>
            </w:pPr>
            <w:r w:rsidRPr="00551DD7">
              <w:rPr>
                <w:u w:color="000000"/>
              </w:rPr>
              <w:t>3.0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829A" w14:textId="77777777" w:rsidR="00EA2FCC" w:rsidRPr="00551DD7" w:rsidRDefault="00EA2FCC" w:rsidP="00EE0A0A">
            <w:pPr>
              <w:rPr>
                <w:rFonts w:eastAsia="ヒラギノ角ゴ Pro W3"/>
                <w:color w:val="000000"/>
                <w:u w:color="000000"/>
              </w:rPr>
            </w:pPr>
            <w:r>
              <w:rPr>
                <w:rFonts w:eastAsia="ヒラギノ角ゴ Pro W3"/>
                <w:color w:val="000000"/>
                <w:u w:color="000000"/>
              </w:rPr>
              <w:t xml:space="preserve">Clarification of consent process: </w:t>
            </w:r>
            <w:r w:rsidRPr="00551DD7">
              <w:t>Eligible patients will be sent an invitation letter, patient information sheet, consent form and a SAE in the post.</w:t>
            </w:r>
            <w:r>
              <w:t xml:space="preserve"> </w:t>
            </w:r>
            <w:r w:rsidRPr="00551DD7">
              <w:t>Patients will be followed up via telephone call, interested patients will be invited to return the consent form to the</w:t>
            </w:r>
            <w:r>
              <w:t xml:space="preserve"> </w:t>
            </w:r>
            <w:r w:rsidRPr="00551DD7">
              <w:t>Research Team via the provided SAE or an appointment will be made to meet the Research Team at their next</w:t>
            </w:r>
            <w:r>
              <w:t xml:space="preserve"> </w:t>
            </w:r>
            <w:r w:rsidRPr="00551DD7">
              <w:t>Hospital appointment. On receipt of the completed consent form a member of the research team will phone the</w:t>
            </w:r>
            <w:r>
              <w:t xml:space="preserve"> </w:t>
            </w:r>
            <w:r w:rsidRPr="00551DD7">
              <w:t>patient to conduct the baseline visit.</w:t>
            </w:r>
          </w:p>
        </w:tc>
      </w:tr>
      <w:tr w:rsidR="00EA2FCC" w:rsidRPr="00382303" w14:paraId="31DF044D" w14:textId="77777777" w:rsidTr="00EE0A0A">
        <w:trPr>
          <w:cantSplit/>
          <w:trHeight w:val="79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DC5B" w14:textId="77777777" w:rsidR="00EA2FCC" w:rsidRPr="00551DD7" w:rsidRDefault="00EA2FCC" w:rsidP="00EE0A0A">
            <w:pPr>
              <w:rPr>
                <w:u w:color="000000"/>
              </w:rPr>
            </w:pPr>
            <w:r w:rsidRPr="00551DD7">
              <w:rPr>
                <w:u w:color="000000"/>
              </w:rPr>
              <w:t>17</w:t>
            </w:r>
            <w:r w:rsidRPr="00551DD7">
              <w:rPr>
                <w:u w:color="000000"/>
                <w:vertAlign w:val="superscript"/>
              </w:rPr>
              <w:t>th</w:t>
            </w:r>
            <w:r w:rsidRPr="00551DD7">
              <w:rPr>
                <w:u w:color="000000"/>
              </w:rPr>
              <w:t xml:space="preserve"> October 2014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85D5B" w14:textId="77777777" w:rsidR="00EA2FCC" w:rsidRPr="00551DD7" w:rsidRDefault="00EA2FCC" w:rsidP="00EE0A0A">
            <w:pPr>
              <w:rPr>
                <w:u w:color="000000"/>
              </w:rPr>
            </w:pPr>
            <w:r w:rsidRPr="00551DD7">
              <w:rPr>
                <w:u w:color="000000"/>
              </w:rPr>
              <w:t>3.1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26525" w14:textId="77777777" w:rsidR="00EA2FCC" w:rsidRPr="00551DD7" w:rsidRDefault="00EA2FCC" w:rsidP="00EE0A0A">
            <w:pPr>
              <w:rPr>
                <w:rFonts w:eastAsia="ヒラギノ角ゴ Pro W3"/>
                <w:color w:val="000000"/>
                <w:u w:color="000000"/>
              </w:rPr>
            </w:pPr>
            <w:r w:rsidRPr="00551DD7">
              <w:t>One minor change to clarify the inclusion criteria. The inclusion criteria will read greater or equal (≥) to 4 cm rather than greater than (&gt;) 4cm.</w:t>
            </w:r>
          </w:p>
        </w:tc>
      </w:tr>
      <w:tr w:rsidR="00EA2FCC" w:rsidRPr="00382303" w14:paraId="5CAA9035" w14:textId="77777777" w:rsidTr="00EE0A0A">
        <w:trPr>
          <w:cantSplit/>
          <w:trHeight w:val="79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4B8DE" w14:textId="77777777" w:rsidR="00EA2FCC" w:rsidRPr="00551DD7" w:rsidRDefault="00EA2FCC" w:rsidP="00EE0A0A">
            <w:pPr>
              <w:rPr>
                <w:u w:color="000000"/>
              </w:rPr>
            </w:pPr>
            <w:r w:rsidRPr="00551DD7">
              <w:rPr>
                <w:u w:color="000000"/>
              </w:rPr>
              <w:t>19</w:t>
            </w:r>
            <w:r w:rsidRPr="00551DD7">
              <w:rPr>
                <w:u w:color="000000"/>
                <w:vertAlign w:val="superscript"/>
              </w:rPr>
              <w:t>th</w:t>
            </w:r>
            <w:r w:rsidRPr="00551DD7">
              <w:rPr>
                <w:u w:color="000000"/>
              </w:rPr>
              <w:t xml:space="preserve"> May 2015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4EDA5" w14:textId="77777777" w:rsidR="00EA2FCC" w:rsidRPr="00551DD7" w:rsidRDefault="00EA2FCC" w:rsidP="00EE0A0A">
            <w:pPr>
              <w:rPr>
                <w:u w:color="000000"/>
              </w:rPr>
            </w:pPr>
            <w:r w:rsidRPr="00551DD7">
              <w:rPr>
                <w:u w:color="000000"/>
              </w:rPr>
              <w:t>4.0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DBA58" w14:textId="77777777" w:rsidR="00EA2FCC" w:rsidRPr="00551DD7" w:rsidRDefault="00EA2FCC" w:rsidP="00EE0A0A">
            <w:r w:rsidRPr="00551DD7">
              <w:t xml:space="preserve">The PIS has been changed to reflect the relocation of the database server to the UK from the US. </w:t>
            </w:r>
          </w:p>
          <w:p w14:paraId="0FA28EEC" w14:textId="77777777" w:rsidR="00EA2FCC" w:rsidRPr="00551DD7" w:rsidRDefault="00EA2FCC" w:rsidP="00EE0A0A">
            <w:r w:rsidRPr="00551DD7">
              <w:t>Clarification to the exclusion criteria and definition of the arch and descending aorta included.</w:t>
            </w:r>
          </w:p>
          <w:p w14:paraId="6A51BC1D" w14:textId="77777777" w:rsidR="00EA2FCC" w:rsidRPr="00551DD7" w:rsidRDefault="00EA2FCC" w:rsidP="00EE0A0A">
            <w:r w:rsidRPr="00551DD7">
              <w:t>Addition of a Glossary defining CRF clinical terms.</w:t>
            </w:r>
          </w:p>
        </w:tc>
      </w:tr>
      <w:tr w:rsidR="00EA2FCC" w:rsidRPr="00382303" w14:paraId="05E654E6" w14:textId="77777777" w:rsidTr="00EE0A0A">
        <w:trPr>
          <w:cantSplit/>
          <w:trHeight w:val="79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1BC5" w14:textId="77777777" w:rsidR="00EA2FCC" w:rsidRPr="00551DD7" w:rsidRDefault="00EA2FCC" w:rsidP="00EE0A0A">
            <w:pPr>
              <w:rPr>
                <w:u w:color="000000"/>
              </w:rPr>
            </w:pPr>
            <w:r w:rsidRPr="00551DD7">
              <w:rPr>
                <w:u w:color="000000"/>
              </w:rPr>
              <w:t>10</w:t>
            </w:r>
            <w:r w:rsidRPr="00551DD7">
              <w:rPr>
                <w:u w:color="000000"/>
                <w:vertAlign w:val="superscript"/>
              </w:rPr>
              <w:t>th</w:t>
            </w:r>
            <w:r w:rsidRPr="00551DD7">
              <w:rPr>
                <w:u w:color="000000"/>
              </w:rPr>
              <w:t xml:space="preserve"> July 2015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5183B" w14:textId="77777777" w:rsidR="00EA2FCC" w:rsidRPr="00551DD7" w:rsidRDefault="00EA2FCC" w:rsidP="00EE0A0A">
            <w:pPr>
              <w:rPr>
                <w:u w:color="000000"/>
              </w:rPr>
            </w:pPr>
            <w:r w:rsidRPr="00551DD7">
              <w:rPr>
                <w:u w:color="000000"/>
              </w:rPr>
              <w:t>4.1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F43BD" w14:textId="77777777" w:rsidR="00EA2FCC" w:rsidRPr="00551DD7" w:rsidRDefault="00EA2FCC" w:rsidP="00EE0A0A">
            <w:r w:rsidRPr="00551DD7">
              <w:t>Changing terminology of the Best Medical Therapy (BMT) group to Conservative Management (CM)</w:t>
            </w:r>
          </w:p>
        </w:tc>
      </w:tr>
      <w:tr w:rsidR="00EA2FCC" w:rsidRPr="00382303" w14:paraId="45A5C28E" w14:textId="77777777" w:rsidTr="00EE0A0A">
        <w:trPr>
          <w:cantSplit/>
          <w:trHeight w:val="79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3A79C" w14:textId="77777777" w:rsidR="00EA2FCC" w:rsidRPr="00551DD7" w:rsidRDefault="00EA2FCC" w:rsidP="00EE0A0A">
            <w:pPr>
              <w:rPr>
                <w:u w:color="000000"/>
              </w:rPr>
            </w:pPr>
            <w:r w:rsidRPr="00551DD7">
              <w:rPr>
                <w:u w:color="000000"/>
              </w:rPr>
              <w:t>17</w:t>
            </w:r>
            <w:r w:rsidRPr="00551DD7">
              <w:rPr>
                <w:u w:color="000000"/>
                <w:vertAlign w:val="superscript"/>
              </w:rPr>
              <w:t>th</w:t>
            </w:r>
            <w:r w:rsidRPr="00551DD7">
              <w:rPr>
                <w:u w:color="000000"/>
              </w:rPr>
              <w:t xml:space="preserve"> December 2015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20461" w14:textId="77777777" w:rsidR="00EA2FCC" w:rsidRPr="00551DD7" w:rsidRDefault="00EA2FCC" w:rsidP="00EE0A0A">
            <w:pPr>
              <w:rPr>
                <w:u w:color="000000"/>
              </w:rPr>
            </w:pPr>
            <w:r w:rsidRPr="00551DD7">
              <w:rPr>
                <w:u w:color="000000"/>
              </w:rPr>
              <w:t>5.0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EF0D" w14:textId="77777777" w:rsidR="00EA2FCC" w:rsidRPr="00551DD7" w:rsidRDefault="00EA2FCC" w:rsidP="00EE0A0A">
            <w:r w:rsidRPr="00551DD7">
              <w:t>Protocol amended to clarify that</w:t>
            </w:r>
            <w:r>
              <w:t>, as c</w:t>
            </w:r>
            <w:r w:rsidRPr="00551DD7">
              <w:t>onfirmed with HRA Medical Physics Expert Advisor</w:t>
            </w:r>
            <w:r>
              <w:t xml:space="preserve">, </w:t>
            </w:r>
            <w:r w:rsidRPr="00551DD7">
              <w:t xml:space="preserve">the collection of anonymised routine clinical scans </w:t>
            </w:r>
            <w:proofErr w:type="gramStart"/>
            <w:r w:rsidRPr="00551DD7">
              <w:t>are</w:t>
            </w:r>
            <w:proofErr w:type="gramEnd"/>
            <w:r w:rsidRPr="00551DD7">
              <w:t xml:space="preserve"> not classified as research exposures. </w:t>
            </w:r>
          </w:p>
        </w:tc>
      </w:tr>
      <w:tr w:rsidR="00EA2FCC" w:rsidRPr="00382303" w14:paraId="71277B95" w14:textId="77777777" w:rsidTr="00EE0A0A">
        <w:trPr>
          <w:cantSplit/>
          <w:trHeight w:val="794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58C98" w14:textId="77777777" w:rsidR="00EA2FCC" w:rsidRPr="00551DD7" w:rsidRDefault="00EA2FCC" w:rsidP="00EE0A0A">
            <w:pPr>
              <w:rPr>
                <w:u w:color="000000"/>
              </w:rPr>
            </w:pPr>
            <w:r w:rsidRPr="00551DD7">
              <w:rPr>
                <w:u w:color="000000"/>
              </w:rPr>
              <w:lastRenderedPageBreak/>
              <w:t>08</w:t>
            </w:r>
            <w:r w:rsidRPr="00551DD7">
              <w:rPr>
                <w:u w:color="000000"/>
                <w:vertAlign w:val="superscript"/>
              </w:rPr>
              <w:t>th</w:t>
            </w:r>
            <w:r w:rsidRPr="00551DD7">
              <w:rPr>
                <w:u w:color="000000"/>
              </w:rPr>
              <w:t xml:space="preserve"> January 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4FE0" w14:textId="77777777" w:rsidR="00EA2FCC" w:rsidRPr="00551DD7" w:rsidRDefault="00EA2FCC" w:rsidP="00EE0A0A">
            <w:pPr>
              <w:rPr>
                <w:u w:color="000000"/>
              </w:rPr>
            </w:pPr>
            <w:r w:rsidRPr="00551DD7">
              <w:rPr>
                <w:u w:color="000000"/>
              </w:rPr>
              <w:t>6.0</w:t>
            </w:r>
          </w:p>
        </w:tc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8281B" w14:textId="77777777" w:rsidR="00EA2FCC" w:rsidRPr="00551DD7" w:rsidRDefault="00EA2FCC" w:rsidP="00EE0A0A">
            <w:r w:rsidRPr="00551DD7">
              <w:t xml:space="preserve">Protocol amended to reflect changes in recruitment targets included in HTA approved </w:t>
            </w:r>
            <w:r>
              <w:t>R</w:t>
            </w:r>
            <w:r w:rsidRPr="00551DD7">
              <w:t>ecovery plan.</w:t>
            </w:r>
          </w:p>
        </w:tc>
      </w:tr>
    </w:tbl>
    <w:p w14:paraId="743E4660" w14:textId="77777777" w:rsidR="00510E18" w:rsidRDefault="00510E18"/>
    <w:sectPr w:rsidR="00510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CC"/>
    <w:rsid w:val="00510E18"/>
    <w:rsid w:val="00EA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3D7E"/>
  <w15:chartTrackingRefBased/>
  <w15:docId w15:val="{C5C31AE7-0164-48BD-A4D1-24003372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FCC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2F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next w:val="BodyText"/>
    <w:link w:val="NoSpacingChar"/>
    <w:uiPriority w:val="1"/>
    <w:qFormat/>
    <w:rsid w:val="00EA2FCC"/>
    <w:pPr>
      <w:spacing w:after="0" w:line="360" w:lineRule="auto"/>
    </w:pPr>
    <w:rPr>
      <w:rFonts w:eastAsia="PMingLiU"/>
    </w:rPr>
  </w:style>
  <w:style w:type="paragraph" w:customStyle="1" w:styleId="Body">
    <w:name w:val="Body"/>
    <w:rsid w:val="00EA2FC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u w:color="00000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2FCC"/>
    <w:rPr>
      <w:rFonts w:eastAsia="PMingLiU"/>
    </w:rPr>
  </w:style>
  <w:style w:type="paragraph" w:styleId="BodyText">
    <w:name w:val="Body Text"/>
    <w:basedOn w:val="Normal"/>
    <w:link w:val="BodyTextChar"/>
    <w:uiPriority w:val="99"/>
    <w:semiHidden/>
    <w:unhideWhenUsed/>
    <w:rsid w:val="00EA2F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1556</Characters>
  <Application>Microsoft Office Word</Application>
  <DocSecurity>0</DocSecurity>
  <Lines>62</Lines>
  <Paragraphs>47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2021-07-05T11:53:00Z</dcterms:created>
  <dcterms:modified xsi:type="dcterms:W3CDTF">2021-07-05T11:54:00Z</dcterms:modified>
</cp:coreProperties>
</file>