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55E7" w14:textId="2205AA87" w:rsidR="007E15C2" w:rsidRPr="007E15C2" w:rsidRDefault="007E15C2" w:rsidP="007E15C2">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7"/>
      <w:bookmarkStart w:id="1" w:name="Appendix1_13"/>
      <w:r w:rsidRPr="007E15C2">
        <w:rPr>
          <w:rFonts w:ascii="Arial" w:eastAsiaTheme="majorEastAsia" w:hAnsi="Arial" w:cstheme="majorBidi"/>
          <w:b/>
          <w:color w:val="000000" w:themeColor="text1"/>
          <w:sz w:val="24"/>
          <w:szCs w:val="26"/>
        </w:rPr>
        <w:t>Post-hoc exploratory analysis of the Engager Randomised Controlled Trial data</w:t>
      </w:r>
      <w:bookmarkEnd w:id="0"/>
    </w:p>
    <w:bookmarkEnd w:id="1"/>
    <w:p w14:paraId="7B6A4978" w14:textId="77777777" w:rsidR="007E15C2" w:rsidRPr="007E15C2" w:rsidRDefault="007E15C2" w:rsidP="007E15C2">
      <w:pPr>
        <w:spacing w:after="0" w:line="240" w:lineRule="auto"/>
        <w:rPr>
          <w:rFonts w:ascii="Times New Roman" w:hAnsi="Times New Roman" w:cs="Times New Roman"/>
          <w:sz w:val="24"/>
          <w:szCs w:val="24"/>
        </w:rPr>
      </w:pPr>
    </w:p>
    <w:p w14:paraId="37917688" w14:textId="77777777" w:rsidR="007E15C2" w:rsidRPr="007E15C2" w:rsidRDefault="007E15C2" w:rsidP="007E15C2">
      <w:pPr>
        <w:spacing w:after="0" w:line="360" w:lineRule="auto"/>
        <w:jc w:val="both"/>
        <w:rPr>
          <w:rFonts w:ascii="Arial" w:hAnsi="Arial" w:cs="Arial"/>
          <w:sz w:val="24"/>
          <w:szCs w:val="24"/>
          <w:lang w:val="en-US"/>
        </w:rPr>
      </w:pPr>
      <w:r w:rsidRPr="007E15C2">
        <w:rPr>
          <w:rFonts w:ascii="Arial" w:hAnsi="Arial" w:cs="Arial"/>
          <w:sz w:val="24"/>
          <w:szCs w:val="24"/>
          <w:lang w:val="en-US"/>
        </w:rPr>
        <w:t xml:space="preserve">We wanted to understand if the baseline differences were related to any other factors and also to see of these baseline differences may have made a difference to the outcome measures at baseline. Therefore, we looked a differences between the groups on the primary and some of the secondary outcomes and also looked to see if the way in which people had ‘screened in’ to the trial may have had an impact. </w:t>
      </w:r>
    </w:p>
    <w:p w14:paraId="627D15A6" w14:textId="77777777" w:rsidR="007E15C2" w:rsidRPr="007E15C2" w:rsidRDefault="007E15C2" w:rsidP="007E15C2">
      <w:pPr>
        <w:spacing w:after="0" w:line="360" w:lineRule="auto"/>
        <w:jc w:val="both"/>
        <w:rPr>
          <w:rFonts w:ascii="Arial" w:eastAsia="Calibri" w:hAnsi="Arial" w:cs="Arial"/>
          <w:sz w:val="24"/>
          <w:szCs w:val="24"/>
          <w:lang w:val="en-US"/>
        </w:rPr>
      </w:pPr>
    </w:p>
    <w:p w14:paraId="73B45DC3"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Method</w:t>
      </w:r>
    </w:p>
    <w:p w14:paraId="697E0796" w14:textId="77777777" w:rsidR="007E15C2" w:rsidRPr="007E15C2" w:rsidRDefault="007E15C2" w:rsidP="007E15C2">
      <w:pPr>
        <w:spacing w:after="0" w:line="360" w:lineRule="auto"/>
        <w:jc w:val="both"/>
        <w:rPr>
          <w:rFonts w:ascii="Arial" w:hAnsi="Arial" w:cs="Arial"/>
          <w:sz w:val="24"/>
          <w:szCs w:val="24"/>
          <w:lang w:val="en-US"/>
        </w:rPr>
      </w:pPr>
      <w:r w:rsidRPr="007E15C2">
        <w:rPr>
          <w:rFonts w:ascii="Arial" w:hAnsi="Arial" w:cs="Arial"/>
          <w:sz w:val="24"/>
          <w:szCs w:val="24"/>
          <w:lang w:val="en-US"/>
        </w:rPr>
        <w:t>We compared baseline scores of the Engager group and usual care group using t-tests for continuous variables, chi</w:t>
      </w:r>
      <w:r w:rsidRPr="007E15C2">
        <w:rPr>
          <w:rFonts w:ascii="Arial" w:hAnsi="Arial" w:cs="Arial"/>
          <w:sz w:val="24"/>
          <w:szCs w:val="24"/>
          <w:vertAlign w:val="superscript"/>
          <w:lang w:val="en-US"/>
        </w:rPr>
        <w:t>2</w:t>
      </w:r>
      <w:r w:rsidRPr="007E15C2">
        <w:rPr>
          <w:rFonts w:ascii="Arial" w:hAnsi="Arial" w:cs="Arial"/>
          <w:sz w:val="24"/>
          <w:szCs w:val="24"/>
          <w:lang w:val="en-US"/>
        </w:rPr>
        <w:t xml:space="preserve"> tests for categorical variables and the Shapiro-Wilk test to test for normality of the distribution of CORE-OM scores. For the latter, we present p-values with p&lt;0.05 indicating that the hypothesis of a normal distribution can be rejected. For outcomes where Shapiro-Wilk test indicated non-normality, we used Kruskal-Wallis test to test for differences. Pearson’s correlation coefficients was used to examine the relationship between baseline CORE-OM scores and other measures. All analyses were conducted using STATA version 15.</w:t>
      </w:r>
    </w:p>
    <w:p w14:paraId="22F5E82D" w14:textId="77777777" w:rsidR="007E15C2" w:rsidRPr="007E15C2" w:rsidRDefault="007E15C2" w:rsidP="007E15C2">
      <w:pPr>
        <w:spacing w:after="0" w:line="360" w:lineRule="auto"/>
        <w:jc w:val="both"/>
        <w:rPr>
          <w:rFonts w:ascii="Arial" w:eastAsia="Calibri" w:hAnsi="Arial" w:cs="Arial"/>
          <w:sz w:val="24"/>
          <w:szCs w:val="24"/>
          <w:lang w:val="en-US"/>
        </w:rPr>
      </w:pPr>
    </w:p>
    <w:p w14:paraId="4ED8C24A"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Results</w:t>
      </w:r>
    </w:p>
    <w:p w14:paraId="6CA276B5" w14:textId="18B67AD0"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Generally, participants in the Engager group and usual care group were similar in terms of their baseline scores on the outcome</w:t>
      </w:r>
      <w:r w:rsidR="009954D1">
        <w:rPr>
          <w:rFonts w:ascii="Arial" w:hAnsi="Arial" w:cs="Arial"/>
          <w:sz w:val="24"/>
          <w:szCs w:val="24"/>
          <w:lang w:val="en-US"/>
        </w:rPr>
        <w:t xml:space="preserve"> measures (See Table </w:t>
      </w:r>
      <w:r w:rsidRPr="007E15C2">
        <w:rPr>
          <w:rFonts w:ascii="Arial" w:hAnsi="Arial" w:cs="Arial"/>
          <w:sz w:val="24"/>
          <w:szCs w:val="24"/>
          <w:lang w:val="en-US"/>
        </w:rPr>
        <w:t>1). There were no statistically significant difference in baseline scores of</w:t>
      </w:r>
      <w:r w:rsidR="009954D1">
        <w:rPr>
          <w:rFonts w:ascii="Arial" w:hAnsi="Arial" w:cs="Arial"/>
          <w:sz w:val="24"/>
          <w:szCs w:val="24"/>
          <w:lang w:val="en-US"/>
        </w:rPr>
        <w:t xml:space="preserve"> the CANFOR (Thomas et al 2003)</w:t>
      </w:r>
      <w:r w:rsidRPr="007E15C2">
        <w:rPr>
          <w:rFonts w:ascii="Arial" w:hAnsi="Arial" w:cs="Arial"/>
          <w:sz w:val="24"/>
          <w:szCs w:val="24"/>
          <w:lang w:val="en-US"/>
        </w:rPr>
        <w:t>,</w:t>
      </w:r>
      <w:r w:rsidR="00332DD4" w:rsidRPr="00332DD4">
        <w:rPr>
          <w:rFonts w:ascii="Arial" w:hAnsi="Arial" w:cs="Arial"/>
          <w:sz w:val="24"/>
          <w:szCs w:val="24"/>
          <w:vertAlign w:val="superscript"/>
          <w:lang w:val="en-US"/>
        </w:rPr>
        <w:t>1</w:t>
      </w:r>
      <w:r w:rsidRPr="007E15C2">
        <w:rPr>
          <w:rFonts w:ascii="Arial" w:hAnsi="Arial" w:cs="Arial"/>
          <w:sz w:val="24"/>
          <w:szCs w:val="24"/>
          <w:lang w:val="en-US"/>
        </w:rPr>
        <w:t xml:space="preserve"> ICECAP (Al-Janabi et al., 2012)</w:t>
      </w:r>
      <w:r w:rsidR="00332DD4">
        <w:rPr>
          <w:rFonts w:ascii="Arial" w:hAnsi="Arial" w:cs="Arial"/>
          <w:sz w:val="24"/>
          <w:szCs w:val="24"/>
          <w:vertAlign w:val="superscript"/>
          <w:lang w:val="en-US"/>
        </w:rPr>
        <w:t>2</w:t>
      </w:r>
      <w:r w:rsidRPr="007E15C2">
        <w:rPr>
          <w:rFonts w:ascii="Arial" w:hAnsi="Arial" w:cs="Arial"/>
          <w:sz w:val="24"/>
          <w:szCs w:val="24"/>
          <w:vertAlign w:val="superscript"/>
          <w:lang w:val="en-US"/>
        </w:rPr>
        <w:t xml:space="preserve"> </w:t>
      </w:r>
      <w:r w:rsidRPr="007E15C2">
        <w:rPr>
          <w:rFonts w:ascii="Arial" w:hAnsi="Arial" w:cs="Arial"/>
          <w:sz w:val="24"/>
          <w:szCs w:val="24"/>
          <w:lang w:val="en-US"/>
        </w:rPr>
        <w:t>and IOMI (</w:t>
      </w:r>
      <w:r w:rsidR="00E91F3D">
        <w:rPr>
          <w:rFonts w:ascii="Arial" w:hAnsi="Arial" w:cs="Arial"/>
          <w:sz w:val="24"/>
          <w:szCs w:val="24"/>
          <w:lang w:val="en-US"/>
        </w:rPr>
        <w:t>Maguire et al 2017)</w:t>
      </w:r>
      <w:r w:rsidR="00332DD4">
        <w:rPr>
          <w:rFonts w:ascii="Arial" w:hAnsi="Arial" w:cs="Arial"/>
          <w:sz w:val="24"/>
          <w:szCs w:val="24"/>
          <w:vertAlign w:val="superscript"/>
          <w:lang w:val="en-US"/>
        </w:rPr>
        <w:t>3</w:t>
      </w:r>
      <w:r w:rsidRPr="007E15C2">
        <w:rPr>
          <w:rFonts w:ascii="Arial" w:hAnsi="Arial" w:cs="Arial"/>
          <w:sz w:val="24"/>
          <w:szCs w:val="24"/>
          <w:lang w:val="en-US"/>
        </w:rPr>
        <w:t>. There was, however, a significant difference in CORE-OM baseline scores with the Engager group having lower scores than the usual care group. CORE-OM severity at baseline was also more often categorised as “not distressed” or “mild” in the Engager group than in the usual care group, indicating overall less psychological distress in the Engager group. There were also significantly more participants with CORE-OM scores less than 10 (not distressed) in the Engager group than the usual care group (p=0.009).</w:t>
      </w:r>
    </w:p>
    <w:p w14:paraId="2FB0F830" w14:textId="77777777" w:rsidR="007E15C2" w:rsidRPr="007E15C2" w:rsidRDefault="007E15C2" w:rsidP="007E15C2">
      <w:pPr>
        <w:spacing w:after="0" w:line="360" w:lineRule="auto"/>
        <w:jc w:val="both"/>
        <w:rPr>
          <w:rFonts w:ascii="Arial" w:eastAsia="Calibri" w:hAnsi="Arial" w:cs="Arial"/>
          <w:sz w:val="24"/>
          <w:szCs w:val="24"/>
          <w:lang w:val="en-US"/>
        </w:rPr>
      </w:pPr>
    </w:p>
    <w:p w14:paraId="332E1BC9" w14:textId="77777777" w:rsidR="007E15C2" w:rsidRPr="007E15C2" w:rsidRDefault="007E15C2" w:rsidP="007E15C2">
      <w:pPr>
        <w:rPr>
          <w:rFonts w:ascii="Arial" w:eastAsia="Times New Roman" w:hAnsi="Arial" w:cs="Arial"/>
          <w:b/>
          <w:bCs/>
          <w:sz w:val="24"/>
          <w:szCs w:val="24"/>
          <w:lang w:val="en-US"/>
        </w:rPr>
      </w:pPr>
      <w:r w:rsidRPr="007E15C2">
        <w:rPr>
          <w:rFonts w:ascii="Arial" w:eastAsia="Times New Roman" w:hAnsi="Arial" w:cs="Arial"/>
          <w:b/>
          <w:bCs/>
          <w:sz w:val="24"/>
          <w:szCs w:val="24"/>
          <w:lang w:val="en-US"/>
        </w:rPr>
        <w:br w:type="page"/>
      </w:r>
    </w:p>
    <w:p w14:paraId="0AECB967" w14:textId="6D27F0F6" w:rsidR="007E15C2" w:rsidRPr="007E15C2" w:rsidRDefault="009954D1" w:rsidP="007E15C2">
      <w:pPr>
        <w:keepNext/>
        <w:keepLines/>
        <w:spacing w:before="40" w:after="0" w:line="240" w:lineRule="auto"/>
        <w:outlineLvl w:val="3"/>
        <w:rPr>
          <w:rFonts w:ascii="Arial" w:eastAsia="Times New Roman" w:hAnsi="Arial" w:cstheme="majorBidi"/>
          <w:b/>
          <w:iCs/>
          <w:sz w:val="24"/>
        </w:rPr>
      </w:pPr>
      <w:bookmarkStart w:id="2" w:name="_Toc82174529"/>
      <w:bookmarkStart w:id="3" w:name="_Toc90296494"/>
      <w:r>
        <w:rPr>
          <w:rFonts w:ascii="Arial" w:eastAsia="Times New Roman" w:hAnsi="Arial" w:cstheme="majorBidi"/>
          <w:b/>
          <w:iCs/>
          <w:sz w:val="24"/>
        </w:rPr>
        <w:lastRenderedPageBreak/>
        <w:t>Table 1</w:t>
      </w:r>
      <w:r w:rsidR="007E15C2" w:rsidRPr="007E15C2">
        <w:rPr>
          <w:rFonts w:ascii="Arial" w:eastAsia="Times New Roman" w:hAnsi="Arial" w:cstheme="majorBidi"/>
          <w:b/>
          <w:iCs/>
          <w:sz w:val="24"/>
        </w:rPr>
        <w:t>: Between-groups differences of outcome measures</w:t>
      </w:r>
      <w:bookmarkEnd w:id="2"/>
      <w:bookmarkEnd w:id="3"/>
    </w:p>
    <w:tbl>
      <w:tblPr>
        <w:tblW w:w="8002" w:type="dxa"/>
        <w:tblLook w:val="04A0" w:firstRow="1" w:lastRow="0" w:firstColumn="1" w:lastColumn="0" w:noHBand="0" w:noVBand="1"/>
      </w:tblPr>
      <w:tblGrid>
        <w:gridCol w:w="3577"/>
        <w:gridCol w:w="2141"/>
        <w:gridCol w:w="2284"/>
      </w:tblGrid>
      <w:tr w:rsidR="007E15C2" w:rsidRPr="007E15C2" w14:paraId="5A4A9F2A" w14:textId="77777777" w:rsidTr="009E6CDE">
        <w:tc>
          <w:tcPr>
            <w:tcW w:w="3577" w:type="dxa"/>
          </w:tcPr>
          <w:p w14:paraId="36914D8E"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141" w:type="dxa"/>
          </w:tcPr>
          <w:p w14:paraId="7F590FB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Engager Group</w:t>
            </w:r>
          </w:p>
        </w:tc>
        <w:tc>
          <w:tcPr>
            <w:tcW w:w="2284" w:type="dxa"/>
          </w:tcPr>
          <w:p w14:paraId="16BC8BC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Usual Care Group</w:t>
            </w:r>
          </w:p>
        </w:tc>
      </w:tr>
      <w:tr w:rsidR="007E15C2" w:rsidRPr="007E15C2" w14:paraId="5DAC8E0A" w14:textId="77777777" w:rsidTr="009E6CDE">
        <w:tc>
          <w:tcPr>
            <w:tcW w:w="3577" w:type="dxa"/>
          </w:tcPr>
          <w:p w14:paraId="7BC8FA9A"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141" w:type="dxa"/>
          </w:tcPr>
          <w:p w14:paraId="6842D8CF"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67846892"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43110972" w14:textId="77777777" w:rsidTr="009E6CDE">
        <w:tc>
          <w:tcPr>
            <w:tcW w:w="3577" w:type="dxa"/>
          </w:tcPr>
          <w:p w14:paraId="3FD2102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Outcomes (mean; SD)</w:t>
            </w:r>
          </w:p>
        </w:tc>
        <w:tc>
          <w:tcPr>
            <w:tcW w:w="2141" w:type="dxa"/>
          </w:tcPr>
          <w:p w14:paraId="78C20E3D"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47A94035"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59E5630B" w14:textId="77777777" w:rsidTr="009E6CDE">
        <w:tc>
          <w:tcPr>
            <w:tcW w:w="3577" w:type="dxa"/>
          </w:tcPr>
          <w:p w14:paraId="7FA42C3B"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CORE-OM*</w:t>
            </w:r>
          </w:p>
        </w:tc>
        <w:tc>
          <w:tcPr>
            <w:tcW w:w="2141" w:type="dxa"/>
          </w:tcPr>
          <w:p w14:paraId="5841E11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15.2; 6.0</w:t>
            </w:r>
          </w:p>
        </w:tc>
        <w:tc>
          <w:tcPr>
            <w:tcW w:w="2284" w:type="dxa"/>
          </w:tcPr>
          <w:p w14:paraId="72664EA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16.9; 6.2</w:t>
            </w:r>
          </w:p>
        </w:tc>
      </w:tr>
      <w:tr w:rsidR="007E15C2" w:rsidRPr="007E15C2" w14:paraId="777A2246" w14:textId="77777777" w:rsidTr="009E6CDE">
        <w:tc>
          <w:tcPr>
            <w:tcW w:w="3577" w:type="dxa"/>
          </w:tcPr>
          <w:p w14:paraId="50158452"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CANFOR</w:t>
            </w:r>
          </w:p>
        </w:tc>
        <w:tc>
          <w:tcPr>
            <w:tcW w:w="2141" w:type="dxa"/>
          </w:tcPr>
          <w:p w14:paraId="64822A2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11.0; 4.8</w:t>
            </w:r>
          </w:p>
        </w:tc>
        <w:tc>
          <w:tcPr>
            <w:tcW w:w="2284" w:type="dxa"/>
          </w:tcPr>
          <w:p w14:paraId="70974D3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11.5; 5.5</w:t>
            </w:r>
          </w:p>
        </w:tc>
      </w:tr>
      <w:tr w:rsidR="007E15C2" w:rsidRPr="007E15C2" w14:paraId="71AAF702" w14:textId="77777777" w:rsidTr="009E6CDE">
        <w:tc>
          <w:tcPr>
            <w:tcW w:w="3577" w:type="dxa"/>
          </w:tcPr>
          <w:p w14:paraId="2381DBD4"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ICECAP</w:t>
            </w:r>
          </w:p>
        </w:tc>
        <w:tc>
          <w:tcPr>
            <w:tcW w:w="2141" w:type="dxa"/>
          </w:tcPr>
          <w:p w14:paraId="47DB2C5B"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 0.2</w:t>
            </w:r>
          </w:p>
        </w:tc>
        <w:tc>
          <w:tcPr>
            <w:tcW w:w="2284" w:type="dxa"/>
          </w:tcPr>
          <w:p w14:paraId="3E417ED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 0.2</w:t>
            </w:r>
          </w:p>
        </w:tc>
      </w:tr>
      <w:tr w:rsidR="007E15C2" w:rsidRPr="007E15C2" w14:paraId="7EA46F8A" w14:textId="77777777" w:rsidTr="009E6CDE">
        <w:tc>
          <w:tcPr>
            <w:tcW w:w="3577" w:type="dxa"/>
          </w:tcPr>
          <w:p w14:paraId="46D2F4D2"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IOMI</w:t>
            </w:r>
          </w:p>
        </w:tc>
        <w:tc>
          <w:tcPr>
            <w:tcW w:w="2141" w:type="dxa"/>
          </w:tcPr>
          <w:p w14:paraId="2607081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67.3; 11.8</w:t>
            </w:r>
          </w:p>
        </w:tc>
        <w:tc>
          <w:tcPr>
            <w:tcW w:w="2284" w:type="dxa"/>
          </w:tcPr>
          <w:p w14:paraId="76CF029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65.9; 11.2</w:t>
            </w:r>
          </w:p>
        </w:tc>
      </w:tr>
      <w:tr w:rsidR="007E15C2" w:rsidRPr="007E15C2" w14:paraId="0AA7C0A3" w14:textId="77777777" w:rsidTr="009E6CDE">
        <w:tc>
          <w:tcPr>
            <w:tcW w:w="3577" w:type="dxa"/>
          </w:tcPr>
          <w:p w14:paraId="055802FD"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141" w:type="dxa"/>
          </w:tcPr>
          <w:p w14:paraId="1C774F25"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282410DD"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51FF6FEC" w14:textId="77777777" w:rsidTr="009E6CDE">
        <w:tc>
          <w:tcPr>
            <w:tcW w:w="3577" w:type="dxa"/>
          </w:tcPr>
          <w:p w14:paraId="6095D23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Normal distribution (p-value)</w:t>
            </w:r>
          </w:p>
        </w:tc>
        <w:tc>
          <w:tcPr>
            <w:tcW w:w="2141" w:type="dxa"/>
          </w:tcPr>
          <w:p w14:paraId="6EAEF0EE"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485DCFF3"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2140DCC5" w14:textId="77777777" w:rsidTr="009E6CDE">
        <w:tc>
          <w:tcPr>
            <w:tcW w:w="3577" w:type="dxa"/>
          </w:tcPr>
          <w:p w14:paraId="4F7597FC"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CORE-OM</w:t>
            </w:r>
          </w:p>
        </w:tc>
        <w:tc>
          <w:tcPr>
            <w:tcW w:w="2141" w:type="dxa"/>
          </w:tcPr>
          <w:p w14:paraId="6D5483E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0.033</w:t>
            </w:r>
          </w:p>
        </w:tc>
        <w:tc>
          <w:tcPr>
            <w:tcW w:w="2284" w:type="dxa"/>
          </w:tcPr>
          <w:p w14:paraId="5E55EBB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0.485</w:t>
            </w:r>
          </w:p>
        </w:tc>
      </w:tr>
      <w:tr w:rsidR="007E15C2" w:rsidRPr="007E15C2" w14:paraId="74CDD1B2" w14:textId="77777777" w:rsidTr="009E6CDE">
        <w:tc>
          <w:tcPr>
            <w:tcW w:w="3577" w:type="dxa"/>
          </w:tcPr>
          <w:p w14:paraId="50622CC2"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CANFOR</w:t>
            </w:r>
          </w:p>
        </w:tc>
        <w:tc>
          <w:tcPr>
            <w:tcW w:w="2141" w:type="dxa"/>
          </w:tcPr>
          <w:p w14:paraId="615BFB5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0.116</w:t>
            </w:r>
          </w:p>
        </w:tc>
        <w:tc>
          <w:tcPr>
            <w:tcW w:w="2284" w:type="dxa"/>
          </w:tcPr>
          <w:p w14:paraId="20C65C40"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0.423</w:t>
            </w:r>
          </w:p>
        </w:tc>
      </w:tr>
      <w:tr w:rsidR="007E15C2" w:rsidRPr="007E15C2" w14:paraId="13C70352" w14:textId="77777777" w:rsidTr="009E6CDE">
        <w:tc>
          <w:tcPr>
            <w:tcW w:w="3577" w:type="dxa"/>
          </w:tcPr>
          <w:p w14:paraId="16F2A0B0"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ICECAP</w:t>
            </w:r>
          </w:p>
        </w:tc>
        <w:tc>
          <w:tcPr>
            <w:tcW w:w="2141" w:type="dxa"/>
          </w:tcPr>
          <w:p w14:paraId="750B3FB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0.016</w:t>
            </w:r>
          </w:p>
        </w:tc>
        <w:tc>
          <w:tcPr>
            <w:tcW w:w="2284" w:type="dxa"/>
          </w:tcPr>
          <w:p w14:paraId="4B97A5F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0.087</w:t>
            </w:r>
          </w:p>
        </w:tc>
      </w:tr>
      <w:tr w:rsidR="007E15C2" w:rsidRPr="007E15C2" w14:paraId="484FF5AA" w14:textId="77777777" w:rsidTr="009E6CDE">
        <w:tc>
          <w:tcPr>
            <w:tcW w:w="3577" w:type="dxa"/>
          </w:tcPr>
          <w:p w14:paraId="54D72DAA"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IOMI</w:t>
            </w:r>
          </w:p>
        </w:tc>
        <w:tc>
          <w:tcPr>
            <w:tcW w:w="2141" w:type="dxa"/>
          </w:tcPr>
          <w:p w14:paraId="5DFFBA8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0.793</w:t>
            </w:r>
          </w:p>
        </w:tc>
        <w:tc>
          <w:tcPr>
            <w:tcW w:w="2284" w:type="dxa"/>
          </w:tcPr>
          <w:p w14:paraId="36A3E33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0.723</w:t>
            </w:r>
          </w:p>
        </w:tc>
      </w:tr>
      <w:tr w:rsidR="007E15C2" w:rsidRPr="007E15C2" w14:paraId="1A97CFEB" w14:textId="77777777" w:rsidTr="009E6CDE">
        <w:tc>
          <w:tcPr>
            <w:tcW w:w="3577" w:type="dxa"/>
          </w:tcPr>
          <w:p w14:paraId="3E90684E"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141" w:type="dxa"/>
          </w:tcPr>
          <w:p w14:paraId="44FE413E"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6919B73F"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707CFBBB" w14:textId="77777777" w:rsidTr="009E6CDE">
        <w:tc>
          <w:tcPr>
            <w:tcW w:w="3577" w:type="dxa"/>
          </w:tcPr>
          <w:p w14:paraId="4D1030A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CORE-OM Severity (n)</w:t>
            </w:r>
          </w:p>
        </w:tc>
        <w:tc>
          <w:tcPr>
            <w:tcW w:w="2141" w:type="dxa"/>
          </w:tcPr>
          <w:p w14:paraId="01275F0C"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284" w:type="dxa"/>
          </w:tcPr>
          <w:p w14:paraId="5E7603CF"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52397BF8" w14:textId="77777777" w:rsidTr="009E6CDE">
        <w:tc>
          <w:tcPr>
            <w:tcW w:w="3577" w:type="dxa"/>
          </w:tcPr>
          <w:p w14:paraId="05D230F2"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Not distressed**</w:t>
            </w:r>
          </w:p>
        </w:tc>
        <w:tc>
          <w:tcPr>
            <w:tcW w:w="2141" w:type="dxa"/>
          </w:tcPr>
          <w:p w14:paraId="6BAC58B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34</w:t>
            </w:r>
          </w:p>
        </w:tc>
        <w:tc>
          <w:tcPr>
            <w:tcW w:w="2284" w:type="dxa"/>
          </w:tcPr>
          <w:p w14:paraId="4DD3D25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17</w:t>
            </w:r>
          </w:p>
        </w:tc>
      </w:tr>
      <w:tr w:rsidR="007E15C2" w:rsidRPr="007E15C2" w14:paraId="7BFD087A" w14:textId="77777777" w:rsidTr="009E6CDE">
        <w:tc>
          <w:tcPr>
            <w:tcW w:w="3577" w:type="dxa"/>
          </w:tcPr>
          <w:p w14:paraId="0255B88E"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Mild</w:t>
            </w:r>
          </w:p>
        </w:tc>
        <w:tc>
          <w:tcPr>
            <w:tcW w:w="2141" w:type="dxa"/>
          </w:tcPr>
          <w:p w14:paraId="2D95E2C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34</w:t>
            </w:r>
          </w:p>
        </w:tc>
        <w:tc>
          <w:tcPr>
            <w:tcW w:w="2284" w:type="dxa"/>
          </w:tcPr>
          <w:p w14:paraId="6A2A835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33</w:t>
            </w:r>
          </w:p>
        </w:tc>
      </w:tr>
      <w:tr w:rsidR="007E15C2" w:rsidRPr="007E15C2" w14:paraId="1A6FF56B" w14:textId="77777777" w:rsidTr="009E6CDE">
        <w:tc>
          <w:tcPr>
            <w:tcW w:w="3577" w:type="dxa"/>
          </w:tcPr>
          <w:p w14:paraId="353B1DCB"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Moderate</w:t>
            </w:r>
          </w:p>
        </w:tc>
        <w:tc>
          <w:tcPr>
            <w:tcW w:w="2141" w:type="dxa"/>
          </w:tcPr>
          <w:p w14:paraId="37F2B6C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40</w:t>
            </w:r>
          </w:p>
        </w:tc>
        <w:tc>
          <w:tcPr>
            <w:tcW w:w="2284" w:type="dxa"/>
          </w:tcPr>
          <w:p w14:paraId="755A0B4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52</w:t>
            </w:r>
          </w:p>
        </w:tc>
      </w:tr>
      <w:tr w:rsidR="007E15C2" w:rsidRPr="007E15C2" w14:paraId="65D6B40D" w14:textId="77777777" w:rsidTr="009E6CDE">
        <w:tc>
          <w:tcPr>
            <w:tcW w:w="3577" w:type="dxa"/>
          </w:tcPr>
          <w:p w14:paraId="5426D420"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Moderate to severe</w:t>
            </w:r>
          </w:p>
        </w:tc>
        <w:tc>
          <w:tcPr>
            <w:tcW w:w="2141" w:type="dxa"/>
          </w:tcPr>
          <w:p w14:paraId="70A4A9B0"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23</w:t>
            </w:r>
          </w:p>
        </w:tc>
        <w:tc>
          <w:tcPr>
            <w:tcW w:w="2284" w:type="dxa"/>
          </w:tcPr>
          <w:p w14:paraId="780EAB8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22</w:t>
            </w:r>
          </w:p>
        </w:tc>
      </w:tr>
      <w:tr w:rsidR="007E15C2" w:rsidRPr="007E15C2" w14:paraId="4F96ACFA" w14:textId="77777777" w:rsidTr="009E6CDE">
        <w:tc>
          <w:tcPr>
            <w:tcW w:w="3577" w:type="dxa"/>
          </w:tcPr>
          <w:p w14:paraId="78C6537A"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Severe</w:t>
            </w:r>
          </w:p>
        </w:tc>
        <w:tc>
          <w:tcPr>
            <w:tcW w:w="2141" w:type="dxa"/>
          </w:tcPr>
          <w:p w14:paraId="6B7D59B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9</w:t>
            </w:r>
          </w:p>
        </w:tc>
        <w:tc>
          <w:tcPr>
            <w:tcW w:w="2284" w:type="dxa"/>
          </w:tcPr>
          <w:p w14:paraId="42E7BEF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16</w:t>
            </w:r>
          </w:p>
        </w:tc>
      </w:tr>
    </w:tbl>
    <w:p w14:paraId="6276CE1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*p&lt;0.05; **p&lt;0.01; ***p&lt;0.001</w:t>
      </w:r>
    </w:p>
    <w:p w14:paraId="02CCDE9D" w14:textId="77777777" w:rsidR="007E15C2" w:rsidRPr="007E15C2" w:rsidRDefault="007E15C2" w:rsidP="007E15C2">
      <w:pPr>
        <w:spacing w:after="0" w:line="360" w:lineRule="auto"/>
        <w:jc w:val="both"/>
        <w:rPr>
          <w:rFonts w:ascii="Arial" w:eastAsia="Calibri" w:hAnsi="Arial" w:cs="Arial"/>
          <w:sz w:val="24"/>
          <w:szCs w:val="24"/>
          <w:lang w:val="en-US"/>
        </w:rPr>
      </w:pPr>
    </w:p>
    <w:p w14:paraId="0884DE7E" w14:textId="361A470F"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There were significant differences in screening in scores between the g</w:t>
      </w:r>
      <w:r w:rsidR="009954D1">
        <w:rPr>
          <w:rFonts w:ascii="Arial" w:hAnsi="Arial" w:cs="Arial"/>
          <w:sz w:val="24"/>
          <w:szCs w:val="24"/>
          <w:lang w:val="en-US"/>
        </w:rPr>
        <w:t xml:space="preserve">roups (Table </w:t>
      </w:r>
      <w:r w:rsidRPr="007E15C2">
        <w:rPr>
          <w:rFonts w:ascii="Arial" w:hAnsi="Arial" w:cs="Arial"/>
          <w:sz w:val="24"/>
          <w:szCs w:val="24"/>
          <w:lang w:val="en-US"/>
        </w:rPr>
        <w:t xml:space="preserve">2). Participants in the Engager group had significantly lower GAD scores, indicating lower anxiety levels.  Although not statistically significant, this group also had lower PHQ and PTSD scores, corresponding to lower depression and stress levels, and less participants had past/likely future common mental health problems. </w:t>
      </w:r>
    </w:p>
    <w:p w14:paraId="6C5836C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Comparing the number of tools participants screened in on, more participants in the Engager group screened in on only one or two tools.</w:t>
      </w:r>
    </w:p>
    <w:p w14:paraId="0F3976AE" w14:textId="77777777" w:rsidR="007E15C2" w:rsidRPr="007E15C2" w:rsidRDefault="007E15C2" w:rsidP="007E15C2">
      <w:pPr>
        <w:spacing w:after="0" w:line="360" w:lineRule="auto"/>
        <w:jc w:val="both"/>
        <w:rPr>
          <w:rFonts w:ascii="Arial" w:eastAsia="Calibri" w:hAnsi="Arial" w:cs="Arial"/>
          <w:sz w:val="24"/>
          <w:szCs w:val="24"/>
          <w:lang w:val="en-US"/>
        </w:rPr>
      </w:pPr>
    </w:p>
    <w:p w14:paraId="2A8A9D0C" w14:textId="77777777" w:rsidR="007E15C2" w:rsidRPr="007E15C2" w:rsidRDefault="007E15C2" w:rsidP="007E15C2">
      <w:pPr>
        <w:rPr>
          <w:rFonts w:ascii="Arial" w:eastAsia="Times New Roman" w:hAnsi="Arial" w:cs="Arial"/>
          <w:b/>
          <w:bCs/>
          <w:sz w:val="24"/>
          <w:szCs w:val="24"/>
          <w:lang w:val="en-US"/>
        </w:rPr>
      </w:pPr>
      <w:r w:rsidRPr="007E15C2">
        <w:rPr>
          <w:rFonts w:ascii="Arial" w:eastAsia="Times New Roman" w:hAnsi="Arial" w:cs="Arial"/>
          <w:b/>
          <w:bCs/>
          <w:sz w:val="24"/>
          <w:szCs w:val="24"/>
          <w:lang w:val="en-US"/>
        </w:rPr>
        <w:br w:type="page"/>
      </w:r>
    </w:p>
    <w:p w14:paraId="22B792CD" w14:textId="3336E3D0" w:rsidR="007E15C2" w:rsidRPr="007E15C2" w:rsidRDefault="009954D1" w:rsidP="007E15C2">
      <w:pPr>
        <w:keepNext/>
        <w:keepLines/>
        <w:spacing w:before="40" w:after="0" w:line="240" w:lineRule="auto"/>
        <w:outlineLvl w:val="3"/>
        <w:rPr>
          <w:rFonts w:ascii="Arial" w:eastAsia="Times New Roman" w:hAnsi="Arial" w:cstheme="majorBidi"/>
          <w:b/>
          <w:iCs/>
          <w:sz w:val="24"/>
        </w:rPr>
      </w:pPr>
      <w:bookmarkStart w:id="4" w:name="_Toc82174530"/>
      <w:bookmarkStart w:id="5" w:name="_Toc90296495"/>
      <w:r>
        <w:rPr>
          <w:rFonts w:ascii="Arial" w:eastAsia="Times New Roman" w:hAnsi="Arial" w:cstheme="majorBidi"/>
          <w:b/>
          <w:iCs/>
          <w:sz w:val="24"/>
        </w:rPr>
        <w:lastRenderedPageBreak/>
        <w:t xml:space="preserve">Table </w:t>
      </w:r>
      <w:r w:rsidR="007E15C2" w:rsidRPr="007E15C2">
        <w:rPr>
          <w:rFonts w:ascii="Arial" w:eastAsia="Times New Roman" w:hAnsi="Arial" w:cstheme="majorBidi"/>
          <w:b/>
          <w:iCs/>
          <w:sz w:val="24"/>
        </w:rPr>
        <w:t>2: Between-groups differences of screening scores</w:t>
      </w:r>
      <w:bookmarkEnd w:id="4"/>
      <w:bookmarkEnd w:id="5"/>
    </w:p>
    <w:p w14:paraId="77879A36" w14:textId="77777777" w:rsidR="007E15C2" w:rsidRPr="007E15C2" w:rsidRDefault="007E15C2" w:rsidP="007E15C2">
      <w:pPr>
        <w:spacing w:after="0" w:line="240" w:lineRule="auto"/>
        <w:rPr>
          <w:rFonts w:ascii="Times New Roman" w:hAnsi="Times New Roman" w:cs="Times New Roman"/>
          <w:sz w:val="24"/>
          <w:szCs w:val="24"/>
        </w:rPr>
      </w:pPr>
    </w:p>
    <w:tbl>
      <w:tblPr>
        <w:tblW w:w="9101" w:type="dxa"/>
        <w:tblLook w:val="04A0" w:firstRow="1" w:lastRow="0" w:firstColumn="1" w:lastColumn="0" w:noHBand="0" w:noVBand="1"/>
      </w:tblPr>
      <w:tblGrid>
        <w:gridCol w:w="4045"/>
        <w:gridCol w:w="2050"/>
        <w:gridCol w:w="3006"/>
      </w:tblGrid>
      <w:tr w:rsidR="007E15C2" w:rsidRPr="007E15C2" w14:paraId="1AE4619D" w14:textId="77777777" w:rsidTr="009E6CDE">
        <w:tc>
          <w:tcPr>
            <w:tcW w:w="4045" w:type="dxa"/>
          </w:tcPr>
          <w:p w14:paraId="2833FE5B"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050" w:type="dxa"/>
          </w:tcPr>
          <w:p w14:paraId="6DB1C2E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Engager Group</w:t>
            </w:r>
          </w:p>
        </w:tc>
        <w:tc>
          <w:tcPr>
            <w:tcW w:w="3006" w:type="dxa"/>
          </w:tcPr>
          <w:p w14:paraId="578EC33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Control Group</w:t>
            </w:r>
          </w:p>
        </w:tc>
      </w:tr>
      <w:tr w:rsidR="007E15C2" w:rsidRPr="007E15C2" w14:paraId="67499F71" w14:textId="77777777" w:rsidTr="009E6CDE">
        <w:tc>
          <w:tcPr>
            <w:tcW w:w="4045" w:type="dxa"/>
          </w:tcPr>
          <w:p w14:paraId="468179D5"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050" w:type="dxa"/>
          </w:tcPr>
          <w:p w14:paraId="702BCA40"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3006" w:type="dxa"/>
          </w:tcPr>
          <w:p w14:paraId="5AFAEC57"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69D658C4" w14:textId="77777777" w:rsidTr="009E6CDE">
        <w:tc>
          <w:tcPr>
            <w:tcW w:w="4045" w:type="dxa"/>
          </w:tcPr>
          <w:p w14:paraId="0E76AA1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Screening scores  (mean; SD)</w:t>
            </w:r>
          </w:p>
        </w:tc>
        <w:tc>
          <w:tcPr>
            <w:tcW w:w="2050" w:type="dxa"/>
          </w:tcPr>
          <w:p w14:paraId="7967E761"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3006" w:type="dxa"/>
          </w:tcPr>
          <w:p w14:paraId="222468D4"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3E823B1F" w14:textId="77777777" w:rsidTr="009E6CDE">
        <w:tc>
          <w:tcPr>
            <w:tcW w:w="4045" w:type="dxa"/>
          </w:tcPr>
          <w:p w14:paraId="5F18498B"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PHQ</w:t>
            </w:r>
          </w:p>
        </w:tc>
        <w:tc>
          <w:tcPr>
            <w:tcW w:w="2050" w:type="dxa"/>
          </w:tcPr>
          <w:p w14:paraId="41CA3A6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12.9; 5.6</w:t>
            </w:r>
          </w:p>
        </w:tc>
        <w:tc>
          <w:tcPr>
            <w:tcW w:w="3006" w:type="dxa"/>
          </w:tcPr>
          <w:p w14:paraId="062E6FC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13.9; 5.2</w:t>
            </w:r>
          </w:p>
        </w:tc>
      </w:tr>
      <w:tr w:rsidR="007E15C2" w:rsidRPr="007E15C2" w14:paraId="47947A2A" w14:textId="77777777" w:rsidTr="009E6CDE">
        <w:tc>
          <w:tcPr>
            <w:tcW w:w="4045" w:type="dxa"/>
          </w:tcPr>
          <w:p w14:paraId="2522DF58"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GAD*</w:t>
            </w:r>
          </w:p>
        </w:tc>
        <w:tc>
          <w:tcPr>
            <w:tcW w:w="2050" w:type="dxa"/>
          </w:tcPr>
          <w:p w14:paraId="45DEE69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11.1; 5.3</w:t>
            </w:r>
          </w:p>
        </w:tc>
        <w:tc>
          <w:tcPr>
            <w:tcW w:w="3006" w:type="dxa"/>
          </w:tcPr>
          <w:p w14:paraId="134134D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12.4; 4.9</w:t>
            </w:r>
          </w:p>
        </w:tc>
      </w:tr>
      <w:tr w:rsidR="007E15C2" w:rsidRPr="007E15C2" w14:paraId="2137A9B1" w14:textId="77777777" w:rsidTr="009E6CDE">
        <w:tc>
          <w:tcPr>
            <w:tcW w:w="4045" w:type="dxa"/>
          </w:tcPr>
          <w:p w14:paraId="261F6C3C"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PTSD</w:t>
            </w:r>
          </w:p>
        </w:tc>
        <w:tc>
          <w:tcPr>
            <w:tcW w:w="2050" w:type="dxa"/>
          </w:tcPr>
          <w:p w14:paraId="1E87FE8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2.1; 1.7</w:t>
            </w:r>
          </w:p>
        </w:tc>
        <w:tc>
          <w:tcPr>
            <w:tcW w:w="3006" w:type="dxa"/>
          </w:tcPr>
          <w:p w14:paraId="623B8A5B"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2.3; 1.7</w:t>
            </w:r>
          </w:p>
        </w:tc>
      </w:tr>
      <w:tr w:rsidR="007E15C2" w:rsidRPr="007E15C2" w14:paraId="39E7977A" w14:textId="77777777" w:rsidTr="009E6CDE">
        <w:tc>
          <w:tcPr>
            <w:tcW w:w="4045" w:type="dxa"/>
          </w:tcPr>
          <w:p w14:paraId="6F759C9A"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Past/Future common MH (n; %)</w:t>
            </w:r>
          </w:p>
        </w:tc>
        <w:tc>
          <w:tcPr>
            <w:tcW w:w="2050" w:type="dxa"/>
          </w:tcPr>
          <w:p w14:paraId="0E05ADB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121</w:t>
            </w:r>
          </w:p>
        </w:tc>
        <w:tc>
          <w:tcPr>
            <w:tcW w:w="3006" w:type="dxa"/>
          </w:tcPr>
          <w:p w14:paraId="0AE6235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121</w:t>
            </w:r>
          </w:p>
        </w:tc>
      </w:tr>
      <w:tr w:rsidR="007E15C2" w:rsidRPr="007E15C2" w14:paraId="54B548DE" w14:textId="77777777" w:rsidTr="009E6CDE">
        <w:tc>
          <w:tcPr>
            <w:tcW w:w="4045" w:type="dxa"/>
          </w:tcPr>
          <w:p w14:paraId="04AB045B"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050" w:type="dxa"/>
          </w:tcPr>
          <w:p w14:paraId="2FD2D327"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3006" w:type="dxa"/>
          </w:tcPr>
          <w:p w14:paraId="45FB4C92"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4B777163" w14:textId="77777777" w:rsidTr="009E6CDE">
        <w:tc>
          <w:tcPr>
            <w:tcW w:w="4045" w:type="dxa"/>
          </w:tcPr>
          <w:p w14:paraId="49B93F9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Number of tools screened in on (n)</w:t>
            </w:r>
          </w:p>
        </w:tc>
        <w:tc>
          <w:tcPr>
            <w:tcW w:w="2050" w:type="dxa"/>
          </w:tcPr>
          <w:p w14:paraId="62C986FA"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3006" w:type="dxa"/>
          </w:tcPr>
          <w:p w14:paraId="684C2013"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5CC163BC" w14:textId="77777777" w:rsidTr="009E6CDE">
        <w:tc>
          <w:tcPr>
            <w:tcW w:w="4045" w:type="dxa"/>
          </w:tcPr>
          <w:p w14:paraId="4045BFCD"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1</w:t>
            </w:r>
          </w:p>
        </w:tc>
        <w:tc>
          <w:tcPr>
            <w:tcW w:w="2050" w:type="dxa"/>
          </w:tcPr>
          <w:p w14:paraId="4EDBF75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25</w:t>
            </w:r>
          </w:p>
        </w:tc>
        <w:tc>
          <w:tcPr>
            <w:tcW w:w="3006" w:type="dxa"/>
          </w:tcPr>
          <w:p w14:paraId="67AC6C3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19</w:t>
            </w:r>
          </w:p>
        </w:tc>
      </w:tr>
      <w:tr w:rsidR="007E15C2" w:rsidRPr="007E15C2" w14:paraId="445F5839" w14:textId="77777777" w:rsidTr="009E6CDE">
        <w:tc>
          <w:tcPr>
            <w:tcW w:w="4045" w:type="dxa"/>
          </w:tcPr>
          <w:p w14:paraId="021BFBA4"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2</w:t>
            </w:r>
          </w:p>
        </w:tc>
        <w:tc>
          <w:tcPr>
            <w:tcW w:w="2050" w:type="dxa"/>
          </w:tcPr>
          <w:p w14:paraId="06917BF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33</w:t>
            </w:r>
          </w:p>
        </w:tc>
        <w:tc>
          <w:tcPr>
            <w:tcW w:w="3006" w:type="dxa"/>
          </w:tcPr>
          <w:p w14:paraId="164DDE8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25</w:t>
            </w:r>
          </w:p>
        </w:tc>
      </w:tr>
      <w:tr w:rsidR="007E15C2" w:rsidRPr="007E15C2" w14:paraId="123B2626" w14:textId="77777777" w:rsidTr="009E6CDE">
        <w:tc>
          <w:tcPr>
            <w:tcW w:w="4045" w:type="dxa"/>
          </w:tcPr>
          <w:p w14:paraId="18C85638"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3</w:t>
            </w:r>
          </w:p>
        </w:tc>
        <w:tc>
          <w:tcPr>
            <w:tcW w:w="2050" w:type="dxa"/>
          </w:tcPr>
          <w:p w14:paraId="58A0537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40</w:t>
            </w:r>
          </w:p>
        </w:tc>
        <w:tc>
          <w:tcPr>
            <w:tcW w:w="3006" w:type="dxa"/>
          </w:tcPr>
          <w:p w14:paraId="19B00EF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47</w:t>
            </w:r>
          </w:p>
        </w:tc>
      </w:tr>
      <w:tr w:rsidR="007E15C2" w:rsidRPr="007E15C2" w14:paraId="1FCCDBF6" w14:textId="77777777" w:rsidTr="009E6CDE">
        <w:tc>
          <w:tcPr>
            <w:tcW w:w="4045" w:type="dxa"/>
          </w:tcPr>
          <w:p w14:paraId="0233426C" w14:textId="77777777" w:rsidR="007E15C2" w:rsidRPr="007E15C2" w:rsidRDefault="007E15C2" w:rsidP="007E15C2">
            <w:pPr>
              <w:spacing w:after="0" w:line="360" w:lineRule="auto"/>
              <w:ind w:left="316"/>
              <w:jc w:val="both"/>
              <w:rPr>
                <w:rFonts w:ascii="Arial" w:eastAsia="Calibri" w:hAnsi="Arial" w:cs="Arial"/>
                <w:sz w:val="24"/>
                <w:szCs w:val="24"/>
                <w:lang w:val="en-US"/>
              </w:rPr>
            </w:pPr>
            <w:r w:rsidRPr="007E15C2">
              <w:rPr>
                <w:rFonts w:ascii="Arial" w:hAnsi="Arial" w:cs="Arial"/>
                <w:sz w:val="24"/>
                <w:szCs w:val="24"/>
                <w:lang w:val="en-US"/>
              </w:rPr>
              <w:t>4</w:t>
            </w:r>
          </w:p>
        </w:tc>
        <w:tc>
          <w:tcPr>
            <w:tcW w:w="2050" w:type="dxa"/>
          </w:tcPr>
          <w:p w14:paraId="0387C8B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42</w:t>
            </w:r>
          </w:p>
        </w:tc>
        <w:tc>
          <w:tcPr>
            <w:tcW w:w="3006" w:type="dxa"/>
          </w:tcPr>
          <w:p w14:paraId="0B2B865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49</w:t>
            </w:r>
          </w:p>
        </w:tc>
      </w:tr>
      <w:tr w:rsidR="007E15C2" w:rsidRPr="007E15C2" w14:paraId="5B2C0573" w14:textId="77777777" w:rsidTr="009E6CDE">
        <w:tc>
          <w:tcPr>
            <w:tcW w:w="4045" w:type="dxa"/>
          </w:tcPr>
          <w:p w14:paraId="111F3155"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2050" w:type="dxa"/>
          </w:tcPr>
          <w:p w14:paraId="74B448F7"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3006" w:type="dxa"/>
          </w:tcPr>
          <w:p w14:paraId="436029AF" w14:textId="77777777" w:rsidR="007E15C2" w:rsidRPr="007E15C2" w:rsidRDefault="007E15C2" w:rsidP="007E15C2">
            <w:pPr>
              <w:spacing w:after="0" w:line="360" w:lineRule="auto"/>
              <w:jc w:val="both"/>
              <w:rPr>
                <w:rFonts w:ascii="Arial" w:eastAsia="Calibri" w:hAnsi="Arial" w:cs="Arial"/>
                <w:sz w:val="24"/>
                <w:szCs w:val="24"/>
                <w:lang w:val="en-US"/>
              </w:rPr>
            </w:pPr>
          </w:p>
        </w:tc>
      </w:tr>
    </w:tbl>
    <w:p w14:paraId="42D9F5A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*p&lt;0.05; **p&lt;0.01; ***p&lt;0.001</w:t>
      </w:r>
    </w:p>
    <w:p w14:paraId="3EB2D314" w14:textId="77777777" w:rsidR="007E15C2" w:rsidRPr="007E15C2" w:rsidRDefault="007E15C2" w:rsidP="007E15C2">
      <w:pPr>
        <w:spacing w:after="0" w:line="360" w:lineRule="auto"/>
        <w:jc w:val="both"/>
        <w:rPr>
          <w:rFonts w:ascii="Arial" w:hAnsi="Arial" w:cs="Arial"/>
          <w:sz w:val="24"/>
          <w:szCs w:val="24"/>
          <w:lang w:val="en-US"/>
        </w:rPr>
      </w:pPr>
    </w:p>
    <w:p w14:paraId="6D5868F3" w14:textId="4C5B416A"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Examining the relationship between screening in tools and baseline CORE-OM scores, we identified a strong correlation between CORE-OM and PHQ and GAD scores, as well as the number of tools a parti</w:t>
      </w:r>
      <w:r w:rsidR="00A82DF2">
        <w:rPr>
          <w:rFonts w:ascii="Arial" w:hAnsi="Arial" w:cs="Arial"/>
          <w:sz w:val="24"/>
          <w:szCs w:val="24"/>
          <w:lang w:val="en-US"/>
        </w:rPr>
        <w:t xml:space="preserve">cipant screened in on (Table </w:t>
      </w:r>
      <w:r w:rsidRPr="007E15C2">
        <w:rPr>
          <w:rFonts w:ascii="Arial" w:hAnsi="Arial" w:cs="Arial"/>
          <w:sz w:val="24"/>
          <w:szCs w:val="24"/>
          <w:lang w:val="en-US"/>
        </w:rPr>
        <w:t xml:space="preserve">3). PTSD scores and past/future common mental health problems were both moderately correlated with CORE scores at baseline. </w:t>
      </w:r>
    </w:p>
    <w:p w14:paraId="73BF2570" w14:textId="77777777" w:rsidR="007E15C2" w:rsidRPr="007E15C2" w:rsidRDefault="007E15C2" w:rsidP="007E15C2">
      <w:pPr>
        <w:spacing w:after="0" w:line="360" w:lineRule="auto"/>
        <w:jc w:val="both"/>
        <w:rPr>
          <w:rFonts w:ascii="Arial" w:eastAsia="Calibri" w:hAnsi="Arial" w:cs="Arial"/>
          <w:sz w:val="24"/>
          <w:szCs w:val="24"/>
          <w:lang w:val="en-US"/>
        </w:rPr>
      </w:pPr>
    </w:p>
    <w:p w14:paraId="070C40F0" w14:textId="5002E059" w:rsidR="007E15C2" w:rsidRPr="007E15C2" w:rsidRDefault="00A82DF2" w:rsidP="007E15C2">
      <w:pPr>
        <w:keepNext/>
        <w:keepLines/>
        <w:spacing w:before="40" w:after="0" w:line="240" w:lineRule="auto"/>
        <w:outlineLvl w:val="3"/>
        <w:rPr>
          <w:rFonts w:ascii="Arial" w:eastAsia="Times New Roman" w:hAnsi="Arial" w:cstheme="majorBidi"/>
          <w:b/>
          <w:iCs/>
          <w:sz w:val="24"/>
        </w:rPr>
      </w:pPr>
      <w:bookmarkStart w:id="6" w:name="_Toc82174531"/>
      <w:bookmarkStart w:id="7" w:name="_Toc90296496"/>
      <w:r>
        <w:rPr>
          <w:rFonts w:ascii="Arial" w:eastAsia="Times New Roman" w:hAnsi="Arial" w:cstheme="majorBidi"/>
          <w:b/>
          <w:iCs/>
          <w:sz w:val="24"/>
        </w:rPr>
        <w:t xml:space="preserve">Table </w:t>
      </w:r>
      <w:r w:rsidR="007E15C2" w:rsidRPr="007E15C2">
        <w:rPr>
          <w:rFonts w:ascii="Arial" w:eastAsia="Times New Roman" w:hAnsi="Arial" w:cstheme="majorBidi"/>
          <w:b/>
          <w:iCs/>
          <w:sz w:val="24"/>
        </w:rPr>
        <w:t>3:  Correlation between screening tools and baseline CORE scores</w:t>
      </w:r>
      <w:bookmarkEnd w:id="6"/>
      <w:bookmarkEnd w:id="7"/>
    </w:p>
    <w:p w14:paraId="7C23E56A" w14:textId="77777777" w:rsidR="007E15C2" w:rsidRPr="007E15C2" w:rsidRDefault="007E15C2" w:rsidP="007E15C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508"/>
        <w:gridCol w:w="4508"/>
      </w:tblGrid>
      <w:tr w:rsidR="007E15C2" w:rsidRPr="007E15C2" w14:paraId="4D75B2BA" w14:textId="77777777" w:rsidTr="009E6CDE">
        <w:tc>
          <w:tcPr>
            <w:tcW w:w="4508" w:type="dxa"/>
          </w:tcPr>
          <w:p w14:paraId="0825167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Screening tools</w:t>
            </w:r>
          </w:p>
        </w:tc>
        <w:tc>
          <w:tcPr>
            <w:tcW w:w="4508" w:type="dxa"/>
          </w:tcPr>
          <w:p w14:paraId="11DC5A0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Correlation coefficient</w:t>
            </w:r>
          </w:p>
        </w:tc>
      </w:tr>
      <w:tr w:rsidR="007E15C2" w:rsidRPr="007E15C2" w14:paraId="34A48809" w14:textId="77777777" w:rsidTr="009E6CDE">
        <w:tc>
          <w:tcPr>
            <w:tcW w:w="4508" w:type="dxa"/>
          </w:tcPr>
          <w:p w14:paraId="375665A8"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4508" w:type="dxa"/>
          </w:tcPr>
          <w:p w14:paraId="0886C0F1" w14:textId="77777777" w:rsidR="007E15C2" w:rsidRPr="007E15C2" w:rsidRDefault="007E15C2" w:rsidP="007E15C2">
            <w:pPr>
              <w:spacing w:after="0" w:line="360" w:lineRule="auto"/>
              <w:jc w:val="both"/>
              <w:rPr>
                <w:rFonts w:ascii="Arial" w:eastAsia="Calibri" w:hAnsi="Arial" w:cs="Arial"/>
                <w:sz w:val="24"/>
                <w:szCs w:val="24"/>
                <w:lang w:val="en-US"/>
              </w:rPr>
            </w:pPr>
          </w:p>
        </w:tc>
      </w:tr>
      <w:tr w:rsidR="007E15C2" w:rsidRPr="007E15C2" w14:paraId="3FB0F068" w14:textId="77777777" w:rsidTr="009E6CDE">
        <w:tc>
          <w:tcPr>
            <w:tcW w:w="4508" w:type="dxa"/>
          </w:tcPr>
          <w:p w14:paraId="27039AB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PHQ score</w:t>
            </w:r>
          </w:p>
        </w:tc>
        <w:tc>
          <w:tcPr>
            <w:tcW w:w="4508" w:type="dxa"/>
          </w:tcPr>
          <w:p w14:paraId="5053F37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0.6232</w:t>
            </w:r>
          </w:p>
        </w:tc>
      </w:tr>
      <w:tr w:rsidR="007E15C2" w:rsidRPr="007E15C2" w14:paraId="40A3CF66" w14:textId="77777777" w:rsidTr="009E6CDE">
        <w:tc>
          <w:tcPr>
            <w:tcW w:w="4508" w:type="dxa"/>
          </w:tcPr>
          <w:p w14:paraId="0203922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GAD score</w:t>
            </w:r>
          </w:p>
        </w:tc>
        <w:tc>
          <w:tcPr>
            <w:tcW w:w="4508" w:type="dxa"/>
          </w:tcPr>
          <w:p w14:paraId="5E09FFB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0.6186</w:t>
            </w:r>
          </w:p>
        </w:tc>
      </w:tr>
      <w:tr w:rsidR="007E15C2" w:rsidRPr="007E15C2" w14:paraId="178B707B" w14:textId="77777777" w:rsidTr="009E6CDE">
        <w:tc>
          <w:tcPr>
            <w:tcW w:w="4508" w:type="dxa"/>
          </w:tcPr>
          <w:p w14:paraId="67584435"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PTSD score</w:t>
            </w:r>
          </w:p>
        </w:tc>
        <w:tc>
          <w:tcPr>
            <w:tcW w:w="4508" w:type="dxa"/>
          </w:tcPr>
          <w:p w14:paraId="403DA26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0.3664</w:t>
            </w:r>
          </w:p>
        </w:tc>
      </w:tr>
      <w:tr w:rsidR="007E15C2" w:rsidRPr="007E15C2" w14:paraId="3197F817" w14:textId="77777777" w:rsidTr="009E6CDE">
        <w:tc>
          <w:tcPr>
            <w:tcW w:w="4508" w:type="dxa"/>
          </w:tcPr>
          <w:p w14:paraId="5B66E13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Past/future common MH</w:t>
            </w:r>
          </w:p>
        </w:tc>
        <w:tc>
          <w:tcPr>
            <w:tcW w:w="4508" w:type="dxa"/>
          </w:tcPr>
          <w:p w14:paraId="14DB069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0.3611</w:t>
            </w:r>
          </w:p>
        </w:tc>
      </w:tr>
      <w:tr w:rsidR="007E15C2" w:rsidRPr="007E15C2" w14:paraId="170B2929" w14:textId="77777777" w:rsidTr="009E6CDE">
        <w:tc>
          <w:tcPr>
            <w:tcW w:w="4508" w:type="dxa"/>
          </w:tcPr>
          <w:p w14:paraId="2E15572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Number of tools screened in on</w:t>
            </w:r>
          </w:p>
        </w:tc>
        <w:tc>
          <w:tcPr>
            <w:tcW w:w="4508" w:type="dxa"/>
          </w:tcPr>
          <w:p w14:paraId="03BD7A5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0.6016</w:t>
            </w:r>
          </w:p>
        </w:tc>
      </w:tr>
    </w:tbl>
    <w:p w14:paraId="2236BD4C" w14:textId="77777777" w:rsidR="007E15C2" w:rsidRPr="007E15C2" w:rsidRDefault="007E15C2" w:rsidP="007E15C2">
      <w:pPr>
        <w:spacing w:after="0" w:line="360" w:lineRule="auto"/>
        <w:jc w:val="both"/>
        <w:rPr>
          <w:rFonts w:ascii="Arial" w:hAnsi="Arial" w:cs="Arial"/>
          <w:sz w:val="24"/>
          <w:szCs w:val="24"/>
          <w:lang w:val="en-US"/>
        </w:rPr>
      </w:pPr>
    </w:p>
    <w:p w14:paraId="2908D751" w14:textId="77777777" w:rsidR="007E15C2" w:rsidRPr="007E15C2" w:rsidRDefault="007E15C2" w:rsidP="007E15C2">
      <w:pPr>
        <w:spacing w:after="0" w:line="360" w:lineRule="auto"/>
        <w:jc w:val="both"/>
        <w:rPr>
          <w:rFonts w:ascii="Arial" w:hAnsi="Arial" w:cs="Arial"/>
          <w:sz w:val="24"/>
          <w:szCs w:val="24"/>
          <w:lang w:val="en-US"/>
        </w:rPr>
      </w:pPr>
      <w:r w:rsidRPr="007E15C2">
        <w:rPr>
          <w:rFonts w:ascii="Arial" w:hAnsi="Arial" w:cs="Arial"/>
          <w:sz w:val="24"/>
          <w:szCs w:val="24"/>
          <w:lang w:val="en-US"/>
        </w:rPr>
        <w:lastRenderedPageBreak/>
        <w:t xml:space="preserve">Therefore, we found statistically significant imbalances in CORE-OM at baseline between the groups, with the Engager group scoring as less mentally unwell. We also found that there were imbalances between the groups on their ‘screening in’ scores with the Engager group having lower anxiety, depression and PTSD levels. This screening in difference was to be expected as CORE-OM scores correlated highly with GAD-7 and PHQ-9. This, in addition to the other baseline imbalances, suggested to us that the usual care group may have struggled with being in prison as they had higher levels of common mental health problems when in prison, but may have had less social disadvantage on release into the community. Conversely, the Engager group may have been less affected by being in prison, as they had greater social disadvantage in the community. </w:t>
      </w:r>
    </w:p>
    <w:p w14:paraId="5338F59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Due to these differences in CORE-OM at baseline and that scores appeared to be sensitive current experiences we investigated further the stability of the CORE-OM.</w:t>
      </w:r>
    </w:p>
    <w:p w14:paraId="4B31D641" w14:textId="77777777" w:rsidR="007E15C2" w:rsidRPr="007E15C2" w:rsidRDefault="007E15C2" w:rsidP="007E15C2">
      <w:pPr>
        <w:spacing w:after="0" w:line="360" w:lineRule="auto"/>
        <w:jc w:val="both"/>
        <w:rPr>
          <w:rFonts w:ascii="Arial" w:eastAsia="Calibri" w:hAnsi="Arial" w:cs="Arial"/>
          <w:sz w:val="24"/>
          <w:szCs w:val="24"/>
          <w:lang w:val="en-US"/>
        </w:rPr>
      </w:pPr>
    </w:p>
    <w:p w14:paraId="51F54AE3"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Temporal changes to CORE-OM Methods</w:t>
      </w:r>
    </w:p>
    <w:p w14:paraId="4A46C70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 xml:space="preserve">We examined the changes in mean CORE-OM at baseline vs 6 months follow-up using Cohen’s effect size </w:t>
      </w:r>
      <w:r w:rsidRPr="007E15C2">
        <w:rPr>
          <w:rFonts w:ascii="Arial" w:hAnsi="Arial" w:cs="Arial"/>
          <w:i/>
          <w:sz w:val="24"/>
          <w:szCs w:val="24"/>
          <w:lang w:val="en-US"/>
        </w:rPr>
        <w:t>d</w:t>
      </w:r>
      <w:r w:rsidRPr="007E15C2">
        <w:rPr>
          <w:rFonts w:ascii="Arial" w:hAnsi="Arial" w:cs="Arial"/>
          <w:sz w:val="24"/>
          <w:szCs w:val="24"/>
          <w:lang w:val="en-US"/>
        </w:rPr>
        <w:t xml:space="preserve">. We calculated the effect size for all participants, as well as for each group. We also examined for follow-ups which took place in the community and those which took place in prison separately. The effect size was assumed to be small when Cohen’s </w:t>
      </w:r>
      <w:r w:rsidRPr="007E15C2">
        <w:rPr>
          <w:rFonts w:ascii="Arial" w:hAnsi="Arial" w:cs="Arial"/>
          <w:i/>
          <w:sz w:val="24"/>
          <w:szCs w:val="24"/>
          <w:lang w:val="en-US"/>
        </w:rPr>
        <w:t xml:space="preserve">d </w:t>
      </w:r>
      <w:r w:rsidRPr="007E15C2">
        <w:rPr>
          <w:rFonts w:ascii="Arial" w:hAnsi="Arial" w:cs="Arial"/>
          <w:sz w:val="24"/>
          <w:szCs w:val="24"/>
          <w:lang w:val="en-US"/>
        </w:rPr>
        <w:t xml:space="preserve">was at least 0.2, medium when at least 0.5 and large when at least 0.8. </w:t>
      </w:r>
    </w:p>
    <w:p w14:paraId="184EF65F" w14:textId="77777777" w:rsidR="007E15C2" w:rsidRPr="007E15C2" w:rsidRDefault="007E15C2" w:rsidP="007E15C2">
      <w:pPr>
        <w:spacing w:after="0" w:line="360" w:lineRule="auto"/>
        <w:jc w:val="both"/>
        <w:rPr>
          <w:rFonts w:ascii="Arial" w:eastAsia="Calibri" w:hAnsi="Arial" w:cs="Arial"/>
          <w:b/>
          <w:sz w:val="24"/>
          <w:szCs w:val="24"/>
          <w:lang w:val="en-US"/>
        </w:rPr>
      </w:pPr>
    </w:p>
    <w:p w14:paraId="284E5A47"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Results</w:t>
      </w:r>
    </w:p>
    <w:p w14:paraId="60EA1F5F" w14:textId="723ACB2B"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 xml:space="preserve">The drop in CORE-OM score was somewhat larger for the usual care group than for the Engager group. But the usual care group had a higher score to begin with, so had the potential to show a bigger change. The effect size was also larger in the subgroup of participants who were follow-up in the community compared to those with follow-up in prisons, with the usual care group showing a </w:t>
      </w:r>
      <w:r w:rsidRPr="007E15C2">
        <w:rPr>
          <w:rFonts w:ascii="Arial" w:hAnsi="Arial" w:cs="Arial"/>
          <w:i/>
          <w:sz w:val="24"/>
          <w:szCs w:val="24"/>
          <w:lang w:val="en-US"/>
        </w:rPr>
        <w:t>d</w:t>
      </w:r>
      <w:r w:rsidRPr="007E15C2">
        <w:rPr>
          <w:rFonts w:ascii="Arial" w:hAnsi="Arial" w:cs="Arial"/>
          <w:sz w:val="24"/>
          <w:szCs w:val="24"/>
          <w:lang w:val="en-US"/>
        </w:rPr>
        <w:t xml:space="preserve"> value of 0.98. This pattern was not true for the Engager group, which had a slightly lower effect size in the sub-analysis of follow-up</w:t>
      </w:r>
      <w:r w:rsidR="00A82DF2">
        <w:rPr>
          <w:rFonts w:ascii="Arial" w:hAnsi="Arial" w:cs="Arial"/>
          <w:sz w:val="24"/>
          <w:szCs w:val="24"/>
          <w:lang w:val="en-US"/>
        </w:rPr>
        <w:t>s in the community (see Tables 4-</w:t>
      </w:r>
      <w:r w:rsidRPr="007E15C2">
        <w:rPr>
          <w:rFonts w:ascii="Arial" w:hAnsi="Arial" w:cs="Arial"/>
          <w:sz w:val="24"/>
          <w:szCs w:val="24"/>
          <w:lang w:val="en-US"/>
        </w:rPr>
        <w:t xml:space="preserve">6). </w:t>
      </w:r>
    </w:p>
    <w:p w14:paraId="10C26797" w14:textId="77777777" w:rsidR="007E15C2" w:rsidRPr="007E15C2" w:rsidRDefault="007E15C2" w:rsidP="007E15C2">
      <w:pPr>
        <w:spacing w:after="0" w:line="360" w:lineRule="auto"/>
        <w:jc w:val="both"/>
        <w:rPr>
          <w:rFonts w:ascii="Arial" w:eastAsia="Calibri" w:hAnsi="Arial" w:cs="Arial"/>
          <w:sz w:val="24"/>
          <w:szCs w:val="24"/>
          <w:lang w:val="en-US"/>
        </w:rPr>
      </w:pPr>
    </w:p>
    <w:p w14:paraId="0D0CCACC" w14:textId="77777777" w:rsidR="007E15C2" w:rsidRPr="007E15C2" w:rsidRDefault="007E15C2" w:rsidP="007E15C2">
      <w:pPr>
        <w:rPr>
          <w:rFonts w:ascii="Arial" w:hAnsi="Arial" w:cs="Arial"/>
          <w:b/>
          <w:sz w:val="24"/>
          <w:szCs w:val="24"/>
          <w:lang w:val="en-US"/>
        </w:rPr>
      </w:pPr>
      <w:r w:rsidRPr="007E15C2">
        <w:rPr>
          <w:rFonts w:ascii="Arial" w:hAnsi="Arial" w:cs="Arial"/>
          <w:b/>
          <w:sz w:val="24"/>
          <w:szCs w:val="24"/>
          <w:lang w:val="en-US"/>
        </w:rPr>
        <w:br w:type="page"/>
      </w:r>
    </w:p>
    <w:p w14:paraId="3ECCBDC4" w14:textId="5DCF05A5" w:rsidR="007E15C2" w:rsidRPr="007E15C2" w:rsidRDefault="00A82DF2" w:rsidP="007E15C2">
      <w:pPr>
        <w:keepNext/>
        <w:keepLines/>
        <w:spacing w:before="40" w:after="0" w:line="240" w:lineRule="auto"/>
        <w:outlineLvl w:val="3"/>
        <w:rPr>
          <w:rFonts w:ascii="Arial" w:eastAsiaTheme="majorEastAsia" w:hAnsi="Arial" w:cstheme="majorBidi"/>
          <w:b/>
          <w:iCs/>
          <w:sz w:val="24"/>
        </w:rPr>
      </w:pPr>
      <w:bookmarkStart w:id="8" w:name="_Toc90296497"/>
      <w:r>
        <w:rPr>
          <w:rFonts w:ascii="Arial" w:eastAsiaTheme="majorEastAsia" w:hAnsi="Arial" w:cstheme="majorBidi"/>
          <w:b/>
          <w:iCs/>
          <w:sz w:val="24"/>
        </w:rPr>
        <w:lastRenderedPageBreak/>
        <w:t xml:space="preserve">Table </w:t>
      </w:r>
      <w:r w:rsidR="007E15C2" w:rsidRPr="007E15C2">
        <w:rPr>
          <w:rFonts w:ascii="Arial" w:eastAsiaTheme="majorEastAsia" w:hAnsi="Arial" w:cstheme="majorBidi"/>
          <w:b/>
          <w:iCs/>
          <w:sz w:val="24"/>
        </w:rPr>
        <w:t>4: Temporal changes in the CORE-OM between baseline and follow-up</w:t>
      </w:r>
      <w:bookmarkEnd w:id="8"/>
    </w:p>
    <w:p w14:paraId="4F98D0E2" w14:textId="77777777" w:rsidR="007E15C2" w:rsidRPr="007E15C2" w:rsidRDefault="007E15C2" w:rsidP="007E15C2">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285"/>
        <w:gridCol w:w="642"/>
        <w:gridCol w:w="830"/>
        <w:gridCol w:w="684"/>
        <w:gridCol w:w="830"/>
        <w:gridCol w:w="684"/>
        <w:gridCol w:w="830"/>
        <w:gridCol w:w="684"/>
        <w:gridCol w:w="1163"/>
      </w:tblGrid>
      <w:tr w:rsidR="007E15C2" w:rsidRPr="007E15C2" w14:paraId="3602CBD5" w14:textId="77777777" w:rsidTr="009E6CDE">
        <w:tc>
          <w:tcPr>
            <w:tcW w:w="2285" w:type="dxa"/>
          </w:tcPr>
          <w:p w14:paraId="34924F49"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642" w:type="dxa"/>
          </w:tcPr>
          <w:p w14:paraId="6BF86D8C" w14:textId="77777777" w:rsidR="007E15C2" w:rsidRPr="007E15C2" w:rsidRDefault="007E15C2" w:rsidP="007E15C2">
            <w:pPr>
              <w:spacing w:after="0" w:line="360" w:lineRule="auto"/>
              <w:jc w:val="both"/>
              <w:rPr>
                <w:rFonts w:ascii="Arial" w:eastAsia="Calibri" w:hAnsi="Arial" w:cs="Arial"/>
                <w:b/>
                <w:sz w:val="24"/>
                <w:szCs w:val="24"/>
                <w:lang w:val="en-US"/>
              </w:rPr>
            </w:pPr>
          </w:p>
        </w:tc>
        <w:tc>
          <w:tcPr>
            <w:tcW w:w="1514" w:type="dxa"/>
            <w:gridSpan w:val="2"/>
          </w:tcPr>
          <w:p w14:paraId="348F7F62"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Baseline</w:t>
            </w:r>
          </w:p>
        </w:tc>
        <w:tc>
          <w:tcPr>
            <w:tcW w:w="1514" w:type="dxa"/>
            <w:gridSpan w:val="2"/>
          </w:tcPr>
          <w:p w14:paraId="00169F42"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6 months</w:t>
            </w:r>
          </w:p>
        </w:tc>
        <w:tc>
          <w:tcPr>
            <w:tcW w:w="1514" w:type="dxa"/>
            <w:gridSpan w:val="2"/>
          </w:tcPr>
          <w:p w14:paraId="7EE8537B"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Change</w:t>
            </w:r>
          </w:p>
        </w:tc>
        <w:tc>
          <w:tcPr>
            <w:tcW w:w="1163" w:type="dxa"/>
          </w:tcPr>
          <w:p w14:paraId="31D791D8" w14:textId="77777777" w:rsidR="007E15C2" w:rsidRPr="007E15C2" w:rsidRDefault="007E15C2" w:rsidP="007E15C2">
            <w:pPr>
              <w:spacing w:after="0" w:line="360" w:lineRule="auto"/>
              <w:jc w:val="both"/>
              <w:rPr>
                <w:rFonts w:ascii="Arial" w:eastAsia="Calibri" w:hAnsi="Arial" w:cs="Arial"/>
                <w:b/>
                <w:sz w:val="24"/>
                <w:szCs w:val="24"/>
                <w:vertAlign w:val="superscript"/>
                <w:lang w:val="en-US"/>
              </w:rPr>
            </w:pPr>
            <w:r w:rsidRPr="007E15C2">
              <w:rPr>
                <w:rFonts w:ascii="Arial" w:hAnsi="Arial" w:cs="Arial"/>
                <w:b/>
                <w:sz w:val="24"/>
                <w:szCs w:val="24"/>
                <w:lang w:val="en-US"/>
              </w:rPr>
              <w:t>Cohen’s d</w:t>
            </w:r>
            <w:r w:rsidRPr="007E15C2">
              <w:rPr>
                <w:rFonts w:ascii="Arial" w:hAnsi="Arial" w:cs="Arial"/>
                <w:b/>
                <w:sz w:val="24"/>
                <w:szCs w:val="24"/>
                <w:vertAlign w:val="superscript"/>
                <w:lang w:val="en-US"/>
              </w:rPr>
              <w:t>1</w:t>
            </w:r>
          </w:p>
        </w:tc>
      </w:tr>
      <w:tr w:rsidR="007E15C2" w:rsidRPr="007E15C2" w14:paraId="09DFCBF4" w14:textId="77777777" w:rsidTr="009E6CDE">
        <w:tc>
          <w:tcPr>
            <w:tcW w:w="2285" w:type="dxa"/>
          </w:tcPr>
          <w:p w14:paraId="24528558"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642" w:type="dxa"/>
          </w:tcPr>
          <w:p w14:paraId="0CD24814"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n</w:t>
            </w:r>
          </w:p>
        </w:tc>
        <w:tc>
          <w:tcPr>
            <w:tcW w:w="830" w:type="dxa"/>
          </w:tcPr>
          <w:p w14:paraId="7A23E933"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4EB643BC"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41516707"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6AEA4850"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38E51DEC"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48B9C020"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1163" w:type="dxa"/>
          </w:tcPr>
          <w:p w14:paraId="190C59DA" w14:textId="77777777" w:rsidR="007E15C2" w:rsidRPr="007E15C2" w:rsidRDefault="007E15C2" w:rsidP="007E15C2">
            <w:pPr>
              <w:spacing w:after="0" w:line="360" w:lineRule="auto"/>
              <w:jc w:val="both"/>
              <w:rPr>
                <w:rFonts w:ascii="Arial" w:eastAsia="Calibri" w:hAnsi="Arial" w:cs="Arial"/>
                <w:b/>
                <w:sz w:val="24"/>
                <w:szCs w:val="24"/>
                <w:lang w:val="en-US"/>
              </w:rPr>
            </w:pPr>
          </w:p>
        </w:tc>
      </w:tr>
      <w:tr w:rsidR="007E15C2" w:rsidRPr="007E15C2" w14:paraId="79490D4D" w14:textId="77777777" w:rsidTr="009E6CDE">
        <w:tc>
          <w:tcPr>
            <w:tcW w:w="2285" w:type="dxa"/>
          </w:tcPr>
          <w:p w14:paraId="699FF54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 xml:space="preserve">All </w:t>
            </w:r>
          </w:p>
        </w:tc>
        <w:tc>
          <w:tcPr>
            <w:tcW w:w="642" w:type="dxa"/>
          </w:tcPr>
          <w:p w14:paraId="38909F7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182</w:t>
            </w:r>
          </w:p>
        </w:tc>
        <w:tc>
          <w:tcPr>
            <w:tcW w:w="830" w:type="dxa"/>
          </w:tcPr>
          <w:p w14:paraId="1F439FA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15.86</w:t>
            </w:r>
          </w:p>
        </w:tc>
        <w:tc>
          <w:tcPr>
            <w:tcW w:w="684" w:type="dxa"/>
          </w:tcPr>
          <w:p w14:paraId="0050C5A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5.97</w:t>
            </w:r>
          </w:p>
        </w:tc>
        <w:tc>
          <w:tcPr>
            <w:tcW w:w="830" w:type="dxa"/>
          </w:tcPr>
          <w:p w14:paraId="35BC48E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12.28</w:t>
            </w:r>
          </w:p>
        </w:tc>
        <w:tc>
          <w:tcPr>
            <w:tcW w:w="684" w:type="dxa"/>
          </w:tcPr>
          <w:p w14:paraId="1346861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7.28</w:t>
            </w:r>
          </w:p>
        </w:tc>
        <w:tc>
          <w:tcPr>
            <w:tcW w:w="830" w:type="dxa"/>
          </w:tcPr>
          <w:p w14:paraId="1392E7F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-3.58</w:t>
            </w:r>
          </w:p>
        </w:tc>
        <w:tc>
          <w:tcPr>
            <w:tcW w:w="684" w:type="dxa"/>
          </w:tcPr>
          <w:p w14:paraId="05DAA14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7.58</w:t>
            </w:r>
          </w:p>
        </w:tc>
        <w:tc>
          <w:tcPr>
            <w:tcW w:w="1163" w:type="dxa"/>
          </w:tcPr>
          <w:p w14:paraId="2F6964B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w:t>
            </w:r>
          </w:p>
        </w:tc>
      </w:tr>
      <w:tr w:rsidR="007E15C2" w:rsidRPr="007E15C2" w14:paraId="65E08963" w14:textId="77777777" w:rsidTr="009E6CDE">
        <w:tc>
          <w:tcPr>
            <w:tcW w:w="2285" w:type="dxa"/>
          </w:tcPr>
          <w:p w14:paraId="029040DB"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Engager group</w:t>
            </w:r>
          </w:p>
        </w:tc>
        <w:tc>
          <w:tcPr>
            <w:tcW w:w="642" w:type="dxa"/>
          </w:tcPr>
          <w:p w14:paraId="7314CB0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92</w:t>
            </w:r>
          </w:p>
        </w:tc>
        <w:tc>
          <w:tcPr>
            <w:tcW w:w="830" w:type="dxa"/>
          </w:tcPr>
          <w:p w14:paraId="7FBDB19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15.04</w:t>
            </w:r>
          </w:p>
        </w:tc>
        <w:tc>
          <w:tcPr>
            <w:tcW w:w="684" w:type="dxa"/>
          </w:tcPr>
          <w:p w14:paraId="2B53144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5.92</w:t>
            </w:r>
          </w:p>
        </w:tc>
        <w:tc>
          <w:tcPr>
            <w:tcW w:w="830" w:type="dxa"/>
          </w:tcPr>
          <w:p w14:paraId="2D3D853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12.61</w:t>
            </w:r>
          </w:p>
        </w:tc>
        <w:tc>
          <w:tcPr>
            <w:tcW w:w="684" w:type="dxa"/>
          </w:tcPr>
          <w:p w14:paraId="2C2D5DC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6.87</w:t>
            </w:r>
          </w:p>
        </w:tc>
        <w:tc>
          <w:tcPr>
            <w:tcW w:w="830" w:type="dxa"/>
          </w:tcPr>
          <w:p w14:paraId="6372CB3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-2.43</w:t>
            </w:r>
          </w:p>
        </w:tc>
        <w:tc>
          <w:tcPr>
            <w:tcW w:w="684" w:type="dxa"/>
          </w:tcPr>
          <w:p w14:paraId="45EA105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6.83</w:t>
            </w:r>
          </w:p>
        </w:tc>
        <w:tc>
          <w:tcPr>
            <w:tcW w:w="1163" w:type="dxa"/>
          </w:tcPr>
          <w:p w14:paraId="3F817E8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-0.41</w:t>
            </w:r>
          </w:p>
        </w:tc>
      </w:tr>
      <w:tr w:rsidR="007E15C2" w:rsidRPr="007E15C2" w14:paraId="5EACB0AE" w14:textId="77777777" w:rsidTr="009E6CDE">
        <w:tc>
          <w:tcPr>
            <w:tcW w:w="2285" w:type="dxa"/>
          </w:tcPr>
          <w:p w14:paraId="7203949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Usual Care group</w:t>
            </w:r>
          </w:p>
        </w:tc>
        <w:tc>
          <w:tcPr>
            <w:tcW w:w="642" w:type="dxa"/>
          </w:tcPr>
          <w:p w14:paraId="0E679DA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90</w:t>
            </w:r>
          </w:p>
        </w:tc>
        <w:tc>
          <w:tcPr>
            <w:tcW w:w="830" w:type="dxa"/>
          </w:tcPr>
          <w:p w14:paraId="3818BA6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16.70</w:t>
            </w:r>
          </w:p>
        </w:tc>
        <w:tc>
          <w:tcPr>
            <w:tcW w:w="684" w:type="dxa"/>
          </w:tcPr>
          <w:p w14:paraId="27B4095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5.94</w:t>
            </w:r>
          </w:p>
        </w:tc>
        <w:tc>
          <w:tcPr>
            <w:tcW w:w="830" w:type="dxa"/>
          </w:tcPr>
          <w:p w14:paraId="40D7151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11.94</w:t>
            </w:r>
          </w:p>
        </w:tc>
        <w:tc>
          <w:tcPr>
            <w:tcW w:w="684" w:type="dxa"/>
          </w:tcPr>
          <w:p w14:paraId="1651D07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7.7</w:t>
            </w:r>
          </w:p>
        </w:tc>
        <w:tc>
          <w:tcPr>
            <w:tcW w:w="830" w:type="dxa"/>
          </w:tcPr>
          <w:p w14:paraId="5BB6C09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-4.77</w:t>
            </w:r>
          </w:p>
        </w:tc>
        <w:tc>
          <w:tcPr>
            <w:tcW w:w="684" w:type="dxa"/>
          </w:tcPr>
          <w:p w14:paraId="0D07418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8.16</w:t>
            </w:r>
          </w:p>
        </w:tc>
        <w:tc>
          <w:tcPr>
            <w:tcW w:w="1163" w:type="dxa"/>
          </w:tcPr>
          <w:p w14:paraId="6A69249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-0.8</w:t>
            </w:r>
          </w:p>
        </w:tc>
      </w:tr>
    </w:tbl>
    <w:p w14:paraId="2202F38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vertAlign w:val="superscript"/>
          <w:lang w:val="en-US"/>
        </w:rPr>
        <w:t>1</w:t>
      </w:r>
      <w:r w:rsidRPr="007E15C2">
        <w:rPr>
          <w:rFonts w:ascii="Arial" w:hAnsi="Arial" w:cs="Arial"/>
          <w:sz w:val="24"/>
          <w:szCs w:val="24"/>
          <w:lang w:val="en-US"/>
        </w:rPr>
        <w:t>calculated as (M2-M1)/S.D.</w:t>
      </w:r>
      <w:r w:rsidRPr="007E15C2">
        <w:rPr>
          <w:rFonts w:ascii="Arial" w:hAnsi="Arial" w:cs="Arial"/>
          <w:sz w:val="24"/>
          <w:szCs w:val="24"/>
          <w:vertAlign w:val="subscript"/>
          <w:lang w:val="en-US"/>
        </w:rPr>
        <w:t>1</w:t>
      </w:r>
      <w:r w:rsidRPr="007E15C2">
        <w:rPr>
          <w:rFonts w:ascii="Arial" w:hAnsi="Arial" w:cs="Arial"/>
          <w:sz w:val="24"/>
          <w:szCs w:val="24"/>
          <w:lang w:val="en-US"/>
        </w:rPr>
        <w:t>; effect sizes: d=0.2=small; d=0.5=medium; d=0.8=large</w:t>
      </w:r>
    </w:p>
    <w:p w14:paraId="66456698" w14:textId="77777777" w:rsidR="007E15C2" w:rsidRPr="007E15C2" w:rsidRDefault="007E15C2" w:rsidP="007E15C2">
      <w:pPr>
        <w:spacing w:after="0" w:line="360" w:lineRule="auto"/>
        <w:jc w:val="both"/>
        <w:rPr>
          <w:rFonts w:ascii="Arial" w:eastAsia="Calibri" w:hAnsi="Arial" w:cs="Arial"/>
          <w:sz w:val="24"/>
          <w:szCs w:val="24"/>
          <w:lang w:val="en-US"/>
        </w:rPr>
      </w:pPr>
    </w:p>
    <w:p w14:paraId="0F7DCC48" w14:textId="77777777" w:rsidR="007E15C2" w:rsidRPr="007E15C2" w:rsidRDefault="007E15C2" w:rsidP="007E15C2">
      <w:pPr>
        <w:spacing w:after="0" w:line="360" w:lineRule="auto"/>
        <w:jc w:val="both"/>
        <w:rPr>
          <w:rFonts w:ascii="Arial" w:hAnsi="Arial" w:cs="Arial"/>
          <w:b/>
          <w:sz w:val="24"/>
          <w:szCs w:val="24"/>
          <w:lang w:val="en-US"/>
        </w:rPr>
      </w:pPr>
    </w:p>
    <w:p w14:paraId="6812B1AF" w14:textId="1DA0AEA9" w:rsidR="007E15C2" w:rsidRPr="007E15C2" w:rsidRDefault="00A82DF2" w:rsidP="007E15C2">
      <w:pPr>
        <w:keepNext/>
        <w:keepLines/>
        <w:spacing w:before="40" w:after="0" w:line="240" w:lineRule="auto"/>
        <w:outlineLvl w:val="3"/>
        <w:rPr>
          <w:rFonts w:ascii="Arial" w:eastAsiaTheme="majorEastAsia" w:hAnsi="Arial" w:cstheme="majorBidi"/>
          <w:b/>
          <w:iCs/>
          <w:sz w:val="24"/>
        </w:rPr>
      </w:pPr>
      <w:bookmarkStart w:id="9" w:name="_Toc90296498"/>
      <w:r>
        <w:rPr>
          <w:rFonts w:ascii="Arial" w:eastAsiaTheme="majorEastAsia" w:hAnsi="Arial" w:cstheme="majorBidi"/>
          <w:b/>
          <w:iCs/>
          <w:sz w:val="24"/>
        </w:rPr>
        <w:t xml:space="preserve">Table </w:t>
      </w:r>
      <w:r w:rsidR="007E15C2" w:rsidRPr="007E15C2">
        <w:rPr>
          <w:rFonts w:ascii="Arial" w:eastAsiaTheme="majorEastAsia" w:hAnsi="Arial" w:cstheme="majorBidi"/>
          <w:b/>
          <w:iCs/>
          <w:sz w:val="24"/>
        </w:rPr>
        <w:t>5: Temporal changes in the CORE-OM between baseline and follow-up among participants with follow-up in the community</w:t>
      </w:r>
      <w:bookmarkEnd w:id="9"/>
    </w:p>
    <w:p w14:paraId="30376403" w14:textId="77777777" w:rsidR="007E15C2" w:rsidRPr="007E15C2" w:rsidRDefault="007E15C2" w:rsidP="007E15C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2231"/>
        <w:gridCol w:w="586"/>
        <w:gridCol w:w="830"/>
        <w:gridCol w:w="684"/>
        <w:gridCol w:w="830"/>
        <w:gridCol w:w="684"/>
        <w:gridCol w:w="830"/>
        <w:gridCol w:w="684"/>
        <w:gridCol w:w="1163"/>
      </w:tblGrid>
      <w:tr w:rsidR="007E15C2" w:rsidRPr="007E15C2" w14:paraId="272C3869" w14:textId="77777777" w:rsidTr="009E6CDE">
        <w:tc>
          <w:tcPr>
            <w:tcW w:w="2231" w:type="dxa"/>
          </w:tcPr>
          <w:p w14:paraId="58048DF9"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586" w:type="dxa"/>
          </w:tcPr>
          <w:p w14:paraId="41C75CDA" w14:textId="77777777" w:rsidR="007E15C2" w:rsidRPr="007E15C2" w:rsidRDefault="007E15C2" w:rsidP="007E15C2">
            <w:pPr>
              <w:spacing w:after="0" w:line="360" w:lineRule="auto"/>
              <w:jc w:val="both"/>
              <w:rPr>
                <w:rFonts w:ascii="Arial" w:eastAsia="Calibri" w:hAnsi="Arial" w:cs="Arial"/>
                <w:b/>
                <w:sz w:val="24"/>
                <w:szCs w:val="24"/>
                <w:lang w:val="en-US"/>
              </w:rPr>
            </w:pPr>
          </w:p>
        </w:tc>
        <w:tc>
          <w:tcPr>
            <w:tcW w:w="1514" w:type="dxa"/>
            <w:gridSpan w:val="2"/>
          </w:tcPr>
          <w:p w14:paraId="1841F768"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Baseline</w:t>
            </w:r>
          </w:p>
        </w:tc>
        <w:tc>
          <w:tcPr>
            <w:tcW w:w="1514" w:type="dxa"/>
            <w:gridSpan w:val="2"/>
          </w:tcPr>
          <w:p w14:paraId="35BD0CF3"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6 months</w:t>
            </w:r>
          </w:p>
        </w:tc>
        <w:tc>
          <w:tcPr>
            <w:tcW w:w="1514" w:type="dxa"/>
            <w:gridSpan w:val="2"/>
          </w:tcPr>
          <w:p w14:paraId="30A69AA6"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Change</w:t>
            </w:r>
          </w:p>
        </w:tc>
        <w:tc>
          <w:tcPr>
            <w:tcW w:w="1163" w:type="dxa"/>
          </w:tcPr>
          <w:p w14:paraId="02879A04" w14:textId="77777777" w:rsidR="007E15C2" w:rsidRPr="007E15C2" w:rsidRDefault="007E15C2" w:rsidP="007E15C2">
            <w:pPr>
              <w:spacing w:after="0" w:line="360" w:lineRule="auto"/>
              <w:jc w:val="both"/>
              <w:rPr>
                <w:rFonts w:ascii="Arial" w:eastAsia="Calibri" w:hAnsi="Arial" w:cs="Arial"/>
                <w:b/>
                <w:sz w:val="24"/>
                <w:szCs w:val="24"/>
                <w:vertAlign w:val="superscript"/>
                <w:lang w:val="en-US"/>
              </w:rPr>
            </w:pPr>
            <w:r w:rsidRPr="007E15C2">
              <w:rPr>
                <w:rFonts w:ascii="Arial" w:hAnsi="Arial" w:cs="Arial"/>
                <w:b/>
                <w:sz w:val="24"/>
                <w:szCs w:val="24"/>
                <w:lang w:val="en-US"/>
              </w:rPr>
              <w:t>Cohen’s d</w:t>
            </w:r>
            <w:r w:rsidRPr="007E15C2">
              <w:rPr>
                <w:rFonts w:ascii="Arial" w:hAnsi="Arial" w:cs="Arial"/>
                <w:b/>
                <w:sz w:val="24"/>
                <w:szCs w:val="24"/>
                <w:vertAlign w:val="superscript"/>
                <w:lang w:val="en-US"/>
              </w:rPr>
              <w:t>1</w:t>
            </w:r>
          </w:p>
        </w:tc>
      </w:tr>
      <w:tr w:rsidR="007E15C2" w:rsidRPr="007E15C2" w14:paraId="51C95900" w14:textId="77777777" w:rsidTr="009E6CDE">
        <w:tc>
          <w:tcPr>
            <w:tcW w:w="2231" w:type="dxa"/>
          </w:tcPr>
          <w:p w14:paraId="667CED62"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586" w:type="dxa"/>
          </w:tcPr>
          <w:p w14:paraId="61ABC641"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n</w:t>
            </w:r>
          </w:p>
        </w:tc>
        <w:tc>
          <w:tcPr>
            <w:tcW w:w="830" w:type="dxa"/>
          </w:tcPr>
          <w:p w14:paraId="15E19CE8"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0B4D3C56"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2D1070BB"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6AC18654"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1D4B40E6"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6B057F1C"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1163" w:type="dxa"/>
          </w:tcPr>
          <w:p w14:paraId="4CEA40EB" w14:textId="77777777" w:rsidR="007E15C2" w:rsidRPr="007E15C2" w:rsidRDefault="007E15C2" w:rsidP="007E15C2">
            <w:pPr>
              <w:spacing w:after="0" w:line="360" w:lineRule="auto"/>
              <w:jc w:val="both"/>
              <w:rPr>
                <w:rFonts w:ascii="Arial" w:eastAsia="Calibri" w:hAnsi="Arial" w:cs="Arial"/>
                <w:b/>
                <w:sz w:val="24"/>
                <w:szCs w:val="24"/>
                <w:lang w:val="en-US"/>
              </w:rPr>
            </w:pPr>
          </w:p>
        </w:tc>
      </w:tr>
      <w:tr w:rsidR="007E15C2" w:rsidRPr="007E15C2" w14:paraId="3F3AE47F" w14:textId="77777777" w:rsidTr="009E6CDE">
        <w:tc>
          <w:tcPr>
            <w:tcW w:w="2231" w:type="dxa"/>
          </w:tcPr>
          <w:p w14:paraId="346848D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 xml:space="preserve">All </w:t>
            </w:r>
          </w:p>
        </w:tc>
        <w:tc>
          <w:tcPr>
            <w:tcW w:w="586" w:type="dxa"/>
          </w:tcPr>
          <w:p w14:paraId="1FBF32E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98</w:t>
            </w:r>
          </w:p>
        </w:tc>
        <w:tc>
          <w:tcPr>
            <w:tcW w:w="830" w:type="dxa"/>
          </w:tcPr>
          <w:p w14:paraId="051096B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15.81</w:t>
            </w:r>
          </w:p>
        </w:tc>
        <w:tc>
          <w:tcPr>
            <w:tcW w:w="684" w:type="dxa"/>
          </w:tcPr>
          <w:p w14:paraId="6873D42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6.06</w:t>
            </w:r>
          </w:p>
        </w:tc>
        <w:tc>
          <w:tcPr>
            <w:tcW w:w="830" w:type="dxa"/>
          </w:tcPr>
          <w:p w14:paraId="3E9EFA4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11.72</w:t>
            </w:r>
          </w:p>
        </w:tc>
        <w:tc>
          <w:tcPr>
            <w:tcW w:w="684" w:type="dxa"/>
          </w:tcPr>
          <w:p w14:paraId="73F3E69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7.39</w:t>
            </w:r>
          </w:p>
        </w:tc>
        <w:tc>
          <w:tcPr>
            <w:tcW w:w="830" w:type="dxa"/>
          </w:tcPr>
          <w:p w14:paraId="6EE1C0D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-4.09</w:t>
            </w:r>
          </w:p>
        </w:tc>
        <w:tc>
          <w:tcPr>
            <w:tcW w:w="684" w:type="dxa"/>
          </w:tcPr>
          <w:p w14:paraId="65AFC25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7.89</w:t>
            </w:r>
          </w:p>
        </w:tc>
        <w:tc>
          <w:tcPr>
            <w:tcW w:w="1163" w:type="dxa"/>
          </w:tcPr>
          <w:p w14:paraId="22C01D90"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-0.67</w:t>
            </w:r>
          </w:p>
        </w:tc>
      </w:tr>
      <w:tr w:rsidR="007E15C2" w:rsidRPr="007E15C2" w14:paraId="546FA231" w14:textId="77777777" w:rsidTr="009E6CDE">
        <w:tc>
          <w:tcPr>
            <w:tcW w:w="2231" w:type="dxa"/>
          </w:tcPr>
          <w:p w14:paraId="515CA50B" w14:textId="77777777" w:rsidR="007E15C2" w:rsidRPr="007E15C2" w:rsidRDefault="007E15C2" w:rsidP="007E15C2">
            <w:pPr>
              <w:spacing w:after="0" w:line="360" w:lineRule="auto"/>
              <w:jc w:val="both"/>
              <w:rPr>
                <w:rFonts w:ascii="Arial" w:eastAsia="Calibri" w:hAnsi="Arial" w:cs="Arial"/>
                <w:sz w:val="24"/>
                <w:szCs w:val="24"/>
                <w:vertAlign w:val="superscript"/>
                <w:lang w:val="en-US"/>
              </w:rPr>
            </w:pPr>
            <w:r w:rsidRPr="007E15C2">
              <w:rPr>
                <w:rFonts w:ascii="Arial" w:hAnsi="Arial" w:cs="Arial"/>
                <w:sz w:val="24"/>
                <w:szCs w:val="24"/>
                <w:lang w:val="en-US"/>
              </w:rPr>
              <w:t>Engager group</w:t>
            </w:r>
          </w:p>
        </w:tc>
        <w:tc>
          <w:tcPr>
            <w:tcW w:w="586" w:type="dxa"/>
          </w:tcPr>
          <w:p w14:paraId="6A3466B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44</w:t>
            </w:r>
          </w:p>
        </w:tc>
        <w:tc>
          <w:tcPr>
            <w:tcW w:w="830" w:type="dxa"/>
          </w:tcPr>
          <w:p w14:paraId="775584D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14.73</w:t>
            </w:r>
          </w:p>
        </w:tc>
        <w:tc>
          <w:tcPr>
            <w:tcW w:w="684" w:type="dxa"/>
          </w:tcPr>
          <w:p w14:paraId="26D74BA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6.01</w:t>
            </w:r>
          </w:p>
        </w:tc>
        <w:tc>
          <w:tcPr>
            <w:tcW w:w="830" w:type="dxa"/>
          </w:tcPr>
          <w:p w14:paraId="2C7E548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12.87</w:t>
            </w:r>
          </w:p>
        </w:tc>
        <w:tc>
          <w:tcPr>
            <w:tcW w:w="684" w:type="dxa"/>
          </w:tcPr>
          <w:p w14:paraId="057EB45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7.28</w:t>
            </w:r>
          </w:p>
        </w:tc>
        <w:tc>
          <w:tcPr>
            <w:tcW w:w="830" w:type="dxa"/>
          </w:tcPr>
          <w:p w14:paraId="68D91E8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-1.86</w:t>
            </w:r>
          </w:p>
        </w:tc>
        <w:tc>
          <w:tcPr>
            <w:tcW w:w="684" w:type="dxa"/>
          </w:tcPr>
          <w:p w14:paraId="6C7538B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6.95</w:t>
            </w:r>
          </w:p>
        </w:tc>
        <w:tc>
          <w:tcPr>
            <w:tcW w:w="1163" w:type="dxa"/>
          </w:tcPr>
          <w:p w14:paraId="680CF71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-0.31</w:t>
            </w:r>
          </w:p>
        </w:tc>
      </w:tr>
      <w:tr w:rsidR="007E15C2" w:rsidRPr="007E15C2" w14:paraId="58888A95" w14:textId="77777777" w:rsidTr="009E6CDE">
        <w:tc>
          <w:tcPr>
            <w:tcW w:w="2231" w:type="dxa"/>
          </w:tcPr>
          <w:p w14:paraId="59AE092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Usual Care group</w:t>
            </w:r>
          </w:p>
        </w:tc>
        <w:tc>
          <w:tcPr>
            <w:tcW w:w="586" w:type="dxa"/>
          </w:tcPr>
          <w:p w14:paraId="04A2888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54</w:t>
            </w:r>
          </w:p>
        </w:tc>
        <w:tc>
          <w:tcPr>
            <w:tcW w:w="830" w:type="dxa"/>
          </w:tcPr>
          <w:p w14:paraId="6A5C1E3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16.69</w:t>
            </w:r>
          </w:p>
        </w:tc>
        <w:tc>
          <w:tcPr>
            <w:tcW w:w="684" w:type="dxa"/>
          </w:tcPr>
          <w:p w14:paraId="6B013F1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6.01</w:t>
            </w:r>
          </w:p>
        </w:tc>
        <w:tc>
          <w:tcPr>
            <w:tcW w:w="830" w:type="dxa"/>
          </w:tcPr>
          <w:p w14:paraId="29DF086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10.78</w:t>
            </w:r>
          </w:p>
        </w:tc>
        <w:tc>
          <w:tcPr>
            <w:tcW w:w="684" w:type="dxa"/>
          </w:tcPr>
          <w:p w14:paraId="6C528C1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7.41</w:t>
            </w:r>
          </w:p>
        </w:tc>
        <w:tc>
          <w:tcPr>
            <w:tcW w:w="830" w:type="dxa"/>
          </w:tcPr>
          <w:p w14:paraId="35D465E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-5.91</w:t>
            </w:r>
          </w:p>
        </w:tc>
        <w:tc>
          <w:tcPr>
            <w:tcW w:w="684" w:type="dxa"/>
          </w:tcPr>
          <w:p w14:paraId="3056475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8.20</w:t>
            </w:r>
          </w:p>
        </w:tc>
        <w:tc>
          <w:tcPr>
            <w:tcW w:w="1163" w:type="dxa"/>
          </w:tcPr>
          <w:p w14:paraId="78FB376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-0.98</w:t>
            </w:r>
          </w:p>
        </w:tc>
      </w:tr>
    </w:tbl>
    <w:p w14:paraId="09396A3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vertAlign w:val="superscript"/>
          <w:lang w:val="en-US"/>
        </w:rPr>
        <w:t>1</w:t>
      </w:r>
      <w:r w:rsidRPr="007E15C2">
        <w:rPr>
          <w:rFonts w:ascii="Arial" w:hAnsi="Arial" w:cs="Arial"/>
          <w:sz w:val="24"/>
          <w:szCs w:val="24"/>
          <w:lang w:val="en-US"/>
        </w:rPr>
        <w:t>calculated as (M2-M1)/S.D.</w:t>
      </w:r>
      <w:r w:rsidRPr="007E15C2">
        <w:rPr>
          <w:rFonts w:ascii="Arial" w:hAnsi="Arial" w:cs="Arial"/>
          <w:sz w:val="24"/>
          <w:szCs w:val="24"/>
          <w:vertAlign w:val="subscript"/>
          <w:lang w:val="en-US"/>
        </w:rPr>
        <w:t>1</w:t>
      </w:r>
      <w:r w:rsidRPr="007E15C2">
        <w:rPr>
          <w:rFonts w:ascii="Arial" w:hAnsi="Arial" w:cs="Arial"/>
          <w:sz w:val="24"/>
          <w:szCs w:val="24"/>
          <w:lang w:val="en-US"/>
        </w:rPr>
        <w:t>; effect sizes: d=0.2=small; d=0.5=medium; d=0.8=large</w:t>
      </w:r>
    </w:p>
    <w:p w14:paraId="7AABC180" w14:textId="77777777" w:rsidR="007E15C2" w:rsidRPr="007E15C2" w:rsidRDefault="007E15C2" w:rsidP="007E15C2">
      <w:pPr>
        <w:spacing w:after="0" w:line="360" w:lineRule="auto"/>
        <w:jc w:val="both"/>
        <w:rPr>
          <w:rFonts w:ascii="Arial" w:eastAsia="Calibri" w:hAnsi="Arial" w:cs="Arial"/>
          <w:sz w:val="24"/>
          <w:szCs w:val="24"/>
          <w:lang w:val="en-US"/>
        </w:rPr>
      </w:pPr>
    </w:p>
    <w:p w14:paraId="2A2B3454" w14:textId="2BEF4AB3" w:rsidR="007E15C2" w:rsidRPr="007E15C2" w:rsidRDefault="00A82DF2" w:rsidP="007E15C2">
      <w:pPr>
        <w:keepNext/>
        <w:keepLines/>
        <w:spacing w:before="40" w:after="0" w:line="240" w:lineRule="auto"/>
        <w:outlineLvl w:val="3"/>
        <w:rPr>
          <w:rFonts w:ascii="Arial" w:eastAsiaTheme="majorEastAsia" w:hAnsi="Arial" w:cstheme="majorBidi"/>
          <w:b/>
          <w:iCs/>
          <w:sz w:val="24"/>
        </w:rPr>
      </w:pPr>
      <w:bookmarkStart w:id="10" w:name="_Toc90296499"/>
      <w:r>
        <w:rPr>
          <w:rFonts w:ascii="Arial" w:eastAsiaTheme="majorEastAsia" w:hAnsi="Arial" w:cstheme="majorBidi"/>
          <w:b/>
          <w:iCs/>
          <w:sz w:val="24"/>
        </w:rPr>
        <w:t xml:space="preserve">Table </w:t>
      </w:r>
      <w:r w:rsidR="007E15C2" w:rsidRPr="007E15C2">
        <w:rPr>
          <w:rFonts w:ascii="Arial" w:eastAsiaTheme="majorEastAsia" w:hAnsi="Arial" w:cstheme="majorBidi"/>
          <w:b/>
          <w:iCs/>
          <w:sz w:val="24"/>
        </w:rPr>
        <w:t>6</w:t>
      </w:r>
      <w:r w:rsidR="00A07997">
        <w:rPr>
          <w:rFonts w:ascii="Arial" w:eastAsiaTheme="majorEastAsia" w:hAnsi="Arial" w:cstheme="majorBidi"/>
          <w:b/>
          <w:iCs/>
          <w:sz w:val="24"/>
        </w:rPr>
        <w:t>:</w:t>
      </w:r>
      <w:r w:rsidR="007E15C2" w:rsidRPr="007E15C2">
        <w:rPr>
          <w:rFonts w:ascii="Arial" w:eastAsiaTheme="majorEastAsia" w:hAnsi="Arial" w:cstheme="majorBidi"/>
          <w:b/>
          <w:iCs/>
          <w:sz w:val="24"/>
        </w:rPr>
        <w:t xml:space="preserve"> Temporal changes in the CORE-OM between baseline and follow-up among participants with follow-up in prisons</w:t>
      </w:r>
      <w:bookmarkEnd w:id="10"/>
    </w:p>
    <w:p w14:paraId="5683327C" w14:textId="77777777" w:rsidR="007E15C2" w:rsidRPr="007E15C2" w:rsidRDefault="007E15C2" w:rsidP="007E15C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2240"/>
        <w:gridCol w:w="586"/>
        <w:gridCol w:w="830"/>
        <w:gridCol w:w="684"/>
        <w:gridCol w:w="830"/>
        <w:gridCol w:w="684"/>
        <w:gridCol w:w="830"/>
        <w:gridCol w:w="684"/>
        <w:gridCol w:w="1163"/>
      </w:tblGrid>
      <w:tr w:rsidR="007E15C2" w:rsidRPr="007E15C2" w14:paraId="27150AE1" w14:textId="77777777" w:rsidTr="009E6CDE">
        <w:tc>
          <w:tcPr>
            <w:tcW w:w="2240" w:type="dxa"/>
          </w:tcPr>
          <w:p w14:paraId="0234B331"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586" w:type="dxa"/>
          </w:tcPr>
          <w:p w14:paraId="3ACB00BE" w14:textId="77777777" w:rsidR="007E15C2" w:rsidRPr="007E15C2" w:rsidRDefault="007E15C2" w:rsidP="007E15C2">
            <w:pPr>
              <w:spacing w:after="0" w:line="360" w:lineRule="auto"/>
              <w:jc w:val="both"/>
              <w:rPr>
                <w:rFonts w:ascii="Arial" w:eastAsia="Calibri" w:hAnsi="Arial" w:cs="Arial"/>
                <w:b/>
                <w:sz w:val="24"/>
                <w:szCs w:val="24"/>
                <w:lang w:val="en-US"/>
              </w:rPr>
            </w:pPr>
          </w:p>
        </w:tc>
        <w:tc>
          <w:tcPr>
            <w:tcW w:w="1514" w:type="dxa"/>
            <w:gridSpan w:val="2"/>
          </w:tcPr>
          <w:p w14:paraId="18E85DBB"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Baseline</w:t>
            </w:r>
          </w:p>
        </w:tc>
        <w:tc>
          <w:tcPr>
            <w:tcW w:w="1514" w:type="dxa"/>
            <w:gridSpan w:val="2"/>
          </w:tcPr>
          <w:p w14:paraId="25609E36"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6 months</w:t>
            </w:r>
          </w:p>
        </w:tc>
        <w:tc>
          <w:tcPr>
            <w:tcW w:w="1514" w:type="dxa"/>
            <w:gridSpan w:val="2"/>
          </w:tcPr>
          <w:p w14:paraId="06A237D7"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Change</w:t>
            </w:r>
          </w:p>
        </w:tc>
        <w:tc>
          <w:tcPr>
            <w:tcW w:w="1163" w:type="dxa"/>
          </w:tcPr>
          <w:p w14:paraId="1844EBC1" w14:textId="77777777" w:rsidR="007E15C2" w:rsidRPr="007E15C2" w:rsidRDefault="007E15C2" w:rsidP="007E15C2">
            <w:pPr>
              <w:spacing w:after="0" w:line="360" w:lineRule="auto"/>
              <w:jc w:val="both"/>
              <w:rPr>
                <w:rFonts w:ascii="Arial" w:eastAsia="Calibri" w:hAnsi="Arial" w:cs="Arial"/>
                <w:b/>
                <w:sz w:val="24"/>
                <w:szCs w:val="24"/>
                <w:vertAlign w:val="superscript"/>
                <w:lang w:val="en-US"/>
              </w:rPr>
            </w:pPr>
            <w:r w:rsidRPr="007E15C2">
              <w:rPr>
                <w:rFonts w:ascii="Arial" w:hAnsi="Arial" w:cs="Arial"/>
                <w:b/>
                <w:sz w:val="24"/>
                <w:szCs w:val="24"/>
                <w:lang w:val="en-US"/>
              </w:rPr>
              <w:t>Cohen’s d</w:t>
            </w:r>
            <w:r w:rsidRPr="007E15C2">
              <w:rPr>
                <w:rFonts w:ascii="Arial" w:hAnsi="Arial" w:cs="Arial"/>
                <w:b/>
                <w:sz w:val="24"/>
                <w:szCs w:val="24"/>
                <w:vertAlign w:val="superscript"/>
                <w:lang w:val="en-US"/>
              </w:rPr>
              <w:t>1</w:t>
            </w:r>
          </w:p>
        </w:tc>
      </w:tr>
      <w:tr w:rsidR="007E15C2" w:rsidRPr="007E15C2" w14:paraId="4F7B20D1" w14:textId="77777777" w:rsidTr="009E6CDE">
        <w:tc>
          <w:tcPr>
            <w:tcW w:w="2240" w:type="dxa"/>
          </w:tcPr>
          <w:p w14:paraId="6D4F2351" w14:textId="77777777" w:rsidR="007E15C2" w:rsidRPr="007E15C2" w:rsidRDefault="007E15C2" w:rsidP="007E15C2">
            <w:pPr>
              <w:spacing w:after="0" w:line="360" w:lineRule="auto"/>
              <w:jc w:val="both"/>
              <w:rPr>
                <w:rFonts w:ascii="Arial" w:eastAsia="Calibri" w:hAnsi="Arial" w:cs="Arial"/>
                <w:sz w:val="24"/>
                <w:szCs w:val="24"/>
                <w:lang w:val="en-US"/>
              </w:rPr>
            </w:pPr>
          </w:p>
        </w:tc>
        <w:tc>
          <w:tcPr>
            <w:tcW w:w="586" w:type="dxa"/>
          </w:tcPr>
          <w:p w14:paraId="100AC281"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n</w:t>
            </w:r>
          </w:p>
        </w:tc>
        <w:tc>
          <w:tcPr>
            <w:tcW w:w="830" w:type="dxa"/>
          </w:tcPr>
          <w:p w14:paraId="07D48DE2"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0053C15E"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282DD159"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00C4FE88"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830" w:type="dxa"/>
          </w:tcPr>
          <w:p w14:paraId="206555F0"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Mean</w:t>
            </w:r>
          </w:p>
        </w:tc>
        <w:tc>
          <w:tcPr>
            <w:tcW w:w="684" w:type="dxa"/>
          </w:tcPr>
          <w:p w14:paraId="6A9EAA4F" w14:textId="77777777" w:rsidR="007E15C2" w:rsidRPr="007E15C2" w:rsidRDefault="007E15C2" w:rsidP="007E15C2">
            <w:pPr>
              <w:spacing w:after="0" w:line="360" w:lineRule="auto"/>
              <w:jc w:val="both"/>
              <w:rPr>
                <w:rFonts w:ascii="Arial" w:eastAsia="Calibri" w:hAnsi="Arial" w:cs="Arial"/>
                <w:b/>
                <w:sz w:val="24"/>
                <w:szCs w:val="24"/>
                <w:lang w:val="en-US"/>
              </w:rPr>
            </w:pPr>
            <w:r w:rsidRPr="007E15C2">
              <w:rPr>
                <w:rFonts w:ascii="Arial" w:hAnsi="Arial" w:cs="Arial"/>
                <w:b/>
                <w:sz w:val="24"/>
                <w:szCs w:val="24"/>
                <w:lang w:val="en-US"/>
              </w:rPr>
              <w:t>S.D.</w:t>
            </w:r>
          </w:p>
        </w:tc>
        <w:tc>
          <w:tcPr>
            <w:tcW w:w="1163" w:type="dxa"/>
          </w:tcPr>
          <w:p w14:paraId="63F88109" w14:textId="77777777" w:rsidR="007E15C2" w:rsidRPr="007E15C2" w:rsidRDefault="007E15C2" w:rsidP="007E15C2">
            <w:pPr>
              <w:spacing w:after="0" w:line="360" w:lineRule="auto"/>
              <w:jc w:val="both"/>
              <w:rPr>
                <w:rFonts w:ascii="Arial" w:eastAsia="Calibri" w:hAnsi="Arial" w:cs="Arial"/>
                <w:b/>
                <w:sz w:val="24"/>
                <w:szCs w:val="24"/>
                <w:lang w:val="en-US"/>
              </w:rPr>
            </w:pPr>
          </w:p>
        </w:tc>
      </w:tr>
      <w:tr w:rsidR="007E15C2" w:rsidRPr="007E15C2" w14:paraId="1B7BB027" w14:textId="77777777" w:rsidTr="009E6CDE">
        <w:tc>
          <w:tcPr>
            <w:tcW w:w="2240" w:type="dxa"/>
          </w:tcPr>
          <w:p w14:paraId="41A6D70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 xml:space="preserve">All </w:t>
            </w:r>
          </w:p>
        </w:tc>
        <w:tc>
          <w:tcPr>
            <w:tcW w:w="586" w:type="dxa"/>
          </w:tcPr>
          <w:p w14:paraId="38931C7A"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48</w:t>
            </w:r>
          </w:p>
        </w:tc>
        <w:tc>
          <w:tcPr>
            <w:tcW w:w="830" w:type="dxa"/>
          </w:tcPr>
          <w:p w14:paraId="7EB8495C"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16.93</w:t>
            </w:r>
          </w:p>
        </w:tc>
        <w:tc>
          <w:tcPr>
            <w:tcW w:w="684" w:type="dxa"/>
          </w:tcPr>
          <w:p w14:paraId="7EE354D7"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5.87</w:t>
            </w:r>
          </w:p>
        </w:tc>
        <w:tc>
          <w:tcPr>
            <w:tcW w:w="830" w:type="dxa"/>
          </w:tcPr>
          <w:p w14:paraId="723AB73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13.65</w:t>
            </w:r>
          </w:p>
        </w:tc>
        <w:tc>
          <w:tcPr>
            <w:tcW w:w="684" w:type="dxa"/>
          </w:tcPr>
          <w:p w14:paraId="51937D3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7.52</w:t>
            </w:r>
          </w:p>
        </w:tc>
        <w:tc>
          <w:tcPr>
            <w:tcW w:w="830" w:type="dxa"/>
          </w:tcPr>
          <w:p w14:paraId="2238794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-3.28</w:t>
            </w:r>
          </w:p>
        </w:tc>
        <w:tc>
          <w:tcPr>
            <w:tcW w:w="684" w:type="dxa"/>
          </w:tcPr>
          <w:p w14:paraId="6B919D1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7.73</w:t>
            </w:r>
          </w:p>
        </w:tc>
        <w:tc>
          <w:tcPr>
            <w:tcW w:w="1163" w:type="dxa"/>
          </w:tcPr>
          <w:p w14:paraId="4C455932"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-0.56</w:t>
            </w:r>
          </w:p>
        </w:tc>
      </w:tr>
      <w:tr w:rsidR="007E15C2" w:rsidRPr="007E15C2" w14:paraId="30A97A6E" w14:textId="77777777" w:rsidTr="009E6CDE">
        <w:tc>
          <w:tcPr>
            <w:tcW w:w="2240" w:type="dxa"/>
          </w:tcPr>
          <w:p w14:paraId="73218B9A" w14:textId="77777777" w:rsidR="007E15C2" w:rsidRPr="007E15C2" w:rsidRDefault="007E15C2" w:rsidP="007E15C2">
            <w:pPr>
              <w:spacing w:after="0" w:line="360" w:lineRule="auto"/>
              <w:jc w:val="both"/>
              <w:rPr>
                <w:rFonts w:ascii="Arial" w:eastAsia="Calibri" w:hAnsi="Arial" w:cs="Arial"/>
                <w:sz w:val="24"/>
                <w:szCs w:val="24"/>
                <w:vertAlign w:val="superscript"/>
                <w:lang w:val="en-US"/>
              </w:rPr>
            </w:pPr>
            <w:r w:rsidRPr="007E15C2">
              <w:rPr>
                <w:rFonts w:ascii="Arial" w:hAnsi="Arial" w:cs="Arial"/>
                <w:sz w:val="24"/>
                <w:szCs w:val="24"/>
                <w:lang w:val="en-US"/>
              </w:rPr>
              <w:t>Engager group</w:t>
            </w:r>
          </w:p>
        </w:tc>
        <w:tc>
          <w:tcPr>
            <w:tcW w:w="586" w:type="dxa"/>
          </w:tcPr>
          <w:p w14:paraId="68F57F1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25</w:t>
            </w:r>
          </w:p>
        </w:tc>
        <w:tc>
          <w:tcPr>
            <w:tcW w:w="830" w:type="dxa"/>
          </w:tcPr>
          <w:p w14:paraId="2D188D3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15.99</w:t>
            </w:r>
          </w:p>
        </w:tc>
        <w:tc>
          <w:tcPr>
            <w:tcW w:w="684" w:type="dxa"/>
          </w:tcPr>
          <w:p w14:paraId="21EE28E3"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6.03</w:t>
            </w:r>
          </w:p>
        </w:tc>
        <w:tc>
          <w:tcPr>
            <w:tcW w:w="830" w:type="dxa"/>
          </w:tcPr>
          <w:p w14:paraId="48A33EE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13.64</w:t>
            </w:r>
          </w:p>
        </w:tc>
        <w:tc>
          <w:tcPr>
            <w:tcW w:w="684" w:type="dxa"/>
          </w:tcPr>
          <w:p w14:paraId="39B0940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6.93</w:t>
            </w:r>
          </w:p>
        </w:tc>
        <w:tc>
          <w:tcPr>
            <w:tcW w:w="830" w:type="dxa"/>
          </w:tcPr>
          <w:p w14:paraId="462BE3A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-2.35</w:t>
            </w:r>
          </w:p>
        </w:tc>
        <w:tc>
          <w:tcPr>
            <w:tcW w:w="684" w:type="dxa"/>
          </w:tcPr>
          <w:p w14:paraId="1CC8607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7.44</w:t>
            </w:r>
          </w:p>
        </w:tc>
        <w:tc>
          <w:tcPr>
            <w:tcW w:w="1163" w:type="dxa"/>
          </w:tcPr>
          <w:p w14:paraId="4E29B249"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-0.39</w:t>
            </w:r>
          </w:p>
        </w:tc>
      </w:tr>
      <w:tr w:rsidR="007E15C2" w:rsidRPr="007E15C2" w14:paraId="1B033919" w14:textId="77777777" w:rsidTr="009E6CDE">
        <w:tc>
          <w:tcPr>
            <w:tcW w:w="2240" w:type="dxa"/>
          </w:tcPr>
          <w:p w14:paraId="70CA949E"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Usual Care group</w:t>
            </w:r>
          </w:p>
        </w:tc>
        <w:tc>
          <w:tcPr>
            <w:tcW w:w="586" w:type="dxa"/>
          </w:tcPr>
          <w:p w14:paraId="26B45641"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23</w:t>
            </w:r>
          </w:p>
        </w:tc>
        <w:tc>
          <w:tcPr>
            <w:tcW w:w="830" w:type="dxa"/>
          </w:tcPr>
          <w:p w14:paraId="6F5DC1F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17.95</w:t>
            </w:r>
          </w:p>
        </w:tc>
        <w:tc>
          <w:tcPr>
            <w:tcW w:w="684" w:type="dxa"/>
          </w:tcPr>
          <w:p w14:paraId="7AE7366F"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5.65</w:t>
            </w:r>
          </w:p>
        </w:tc>
        <w:tc>
          <w:tcPr>
            <w:tcW w:w="830" w:type="dxa"/>
          </w:tcPr>
          <w:p w14:paraId="13203D8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13.67</w:t>
            </w:r>
          </w:p>
        </w:tc>
        <w:tc>
          <w:tcPr>
            <w:tcW w:w="684" w:type="dxa"/>
          </w:tcPr>
          <w:p w14:paraId="56E551F6"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8.27</w:t>
            </w:r>
          </w:p>
        </w:tc>
        <w:tc>
          <w:tcPr>
            <w:tcW w:w="830" w:type="dxa"/>
          </w:tcPr>
          <w:p w14:paraId="3686361D"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-4.29</w:t>
            </w:r>
          </w:p>
        </w:tc>
        <w:tc>
          <w:tcPr>
            <w:tcW w:w="684" w:type="dxa"/>
          </w:tcPr>
          <w:p w14:paraId="55D6D804"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8.09</w:t>
            </w:r>
          </w:p>
        </w:tc>
        <w:tc>
          <w:tcPr>
            <w:tcW w:w="1163" w:type="dxa"/>
          </w:tcPr>
          <w:p w14:paraId="2E29F75B"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lang w:val="en-US"/>
              </w:rPr>
              <w:t>-0.76</w:t>
            </w:r>
          </w:p>
        </w:tc>
      </w:tr>
    </w:tbl>
    <w:p w14:paraId="65B24228" w14:textId="77777777" w:rsidR="007E15C2" w:rsidRPr="007E15C2" w:rsidRDefault="007E15C2" w:rsidP="007E15C2">
      <w:pPr>
        <w:spacing w:after="0" w:line="360" w:lineRule="auto"/>
        <w:jc w:val="both"/>
        <w:rPr>
          <w:rFonts w:ascii="Arial" w:eastAsia="Calibri" w:hAnsi="Arial" w:cs="Arial"/>
          <w:sz w:val="24"/>
          <w:szCs w:val="24"/>
          <w:lang w:val="en-US"/>
        </w:rPr>
      </w:pPr>
      <w:r w:rsidRPr="007E15C2">
        <w:rPr>
          <w:rFonts w:ascii="Arial" w:hAnsi="Arial" w:cs="Arial"/>
          <w:sz w:val="24"/>
          <w:szCs w:val="24"/>
          <w:vertAlign w:val="superscript"/>
          <w:lang w:val="en-US"/>
        </w:rPr>
        <w:t>1</w:t>
      </w:r>
      <w:r w:rsidRPr="007E15C2">
        <w:rPr>
          <w:rFonts w:ascii="Arial" w:hAnsi="Arial" w:cs="Arial"/>
          <w:sz w:val="24"/>
          <w:szCs w:val="24"/>
          <w:lang w:val="en-US"/>
        </w:rPr>
        <w:t>calculated as (M2-M1)/S.D.</w:t>
      </w:r>
      <w:r w:rsidRPr="007E15C2">
        <w:rPr>
          <w:rFonts w:ascii="Arial" w:hAnsi="Arial" w:cs="Arial"/>
          <w:sz w:val="24"/>
          <w:szCs w:val="24"/>
          <w:vertAlign w:val="subscript"/>
          <w:lang w:val="en-US"/>
        </w:rPr>
        <w:t>1</w:t>
      </w:r>
      <w:r w:rsidRPr="007E15C2">
        <w:rPr>
          <w:rFonts w:ascii="Arial" w:hAnsi="Arial" w:cs="Arial"/>
          <w:sz w:val="24"/>
          <w:szCs w:val="24"/>
          <w:lang w:val="en-US"/>
        </w:rPr>
        <w:t>; effect sizes: d=0.2=small; d=0.5=medium; d=0.8=large</w:t>
      </w:r>
    </w:p>
    <w:p w14:paraId="02A0DCB7" w14:textId="77777777" w:rsidR="007E15C2" w:rsidRPr="007E15C2" w:rsidRDefault="007E15C2" w:rsidP="007E15C2">
      <w:pPr>
        <w:spacing w:after="0" w:line="360" w:lineRule="auto"/>
        <w:jc w:val="both"/>
        <w:rPr>
          <w:rFonts w:ascii="Arial" w:eastAsia="Calibri" w:hAnsi="Arial" w:cs="Arial"/>
          <w:b/>
          <w:sz w:val="24"/>
          <w:szCs w:val="24"/>
          <w:lang w:val="en-US"/>
        </w:rPr>
      </w:pPr>
    </w:p>
    <w:p w14:paraId="70400655" w14:textId="5CCFAD4B" w:rsidR="007E15C2" w:rsidRDefault="007E15C2" w:rsidP="007E15C2">
      <w:pPr>
        <w:spacing w:after="0" w:line="360" w:lineRule="auto"/>
        <w:jc w:val="both"/>
        <w:rPr>
          <w:rFonts w:ascii="Arial" w:hAnsi="Arial" w:cs="Arial"/>
          <w:sz w:val="24"/>
          <w:szCs w:val="24"/>
          <w:lang w:val="en-US"/>
        </w:rPr>
      </w:pPr>
      <w:r w:rsidRPr="007E15C2">
        <w:rPr>
          <w:rFonts w:ascii="Arial" w:hAnsi="Arial" w:cs="Arial"/>
          <w:sz w:val="24"/>
          <w:szCs w:val="24"/>
          <w:lang w:val="en-US"/>
        </w:rPr>
        <w:t>Therefore, mean scores for the CORE-OM dropped differentially over time depending on trial arm and location of follow-up.  Compared to a previous study (Barkham et al., 2007)</w:t>
      </w:r>
      <w:r w:rsidR="00807360">
        <w:rPr>
          <w:rFonts w:ascii="Arial" w:hAnsi="Arial" w:cs="Arial"/>
          <w:sz w:val="24"/>
          <w:szCs w:val="24"/>
          <w:vertAlign w:val="superscript"/>
          <w:lang w:val="en-US"/>
        </w:rPr>
        <w:t>4</w:t>
      </w:r>
      <w:r w:rsidRPr="007E15C2">
        <w:rPr>
          <w:rFonts w:ascii="Arial" w:hAnsi="Arial" w:cs="Arial"/>
          <w:sz w:val="24"/>
          <w:szCs w:val="24"/>
          <w:lang w:val="en-US"/>
        </w:rPr>
        <w:t xml:space="preserve"> assessing the temporal stability of the CORE-OM, the effect size in our </w:t>
      </w:r>
      <w:r w:rsidRPr="007E15C2">
        <w:rPr>
          <w:rFonts w:ascii="Arial" w:hAnsi="Arial" w:cs="Arial"/>
          <w:sz w:val="24"/>
          <w:szCs w:val="24"/>
          <w:lang w:val="en-US"/>
        </w:rPr>
        <w:lastRenderedPageBreak/>
        <w:t xml:space="preserve">population was larger.  The drops for those in the usual care arm followed up in the community were greatest, providing for the possibility that CORE-OM scores and location of follow up (prison or not) interact. </w:t>
      </w:r>
    </w:p>
    <w:p w14:paraId="19AF3B82" w14:textId="2FBF6CF0" w:rsidR="00145C72" w:rsidRDefault="00145C72" w:rsidP="007E15C2">
      <w:pPr>
        <w:spacing w:after="0" w:line="360" w:lineRule="auto"/>
        <w:jc w:val="both"/>
        <w:rPr>
          <w:rFonts w:ascii="Arial" w:eastAsia="Calibri" w:hAnsi="Arial" w:cs="Arial"/>
          <w:sz w:val="24"/>
          <w:szCs w:val="24"/>
          <w:lang w:val="en-US"/>
        </w:rPr>
      </w:pPr>
    </w:p>
    <w:p w14:paraId="5DC311AC" w14:textId="521BAEAA" w:rsidR="00C51139" w:rsidRDefault="00C51139" w:rsidP="007E15C2">
      <w:pPr>
        <w:spacing w:after="0" w:line="360" w:lineRule="auto"/>
        <w:jc w:val="both"/>
        <w:rPr>
          <w:rFonts w:ascii="Arial" w:eastAsia="Calibri" w:hAnsi="Arial" w:cs="Arial"/>
          <w:sz w:val="24"/>
          <w:szCs w:val="24"/>
          <w:lang w:val="en-US"/>
        </w:rPr>
      </w:pPr>
    </w:p>
    <w:p w14:paraId="0B0880AF" w14:textId="548516B2" w:rsidR="00C51139" w:rsidRDefault="00C51139" w:rsidP="007E15C2">
      <w:pPr>
        <w:spacing w:after="0" w:line="360" w:lineRule="auto"/>
        <w:jc w:val="both"/>
        <w:rPr>
          <w:rFonts w:ascii="Arial" w:eastAsia="Calibri" w:hAnsi="Arial" w:cs="Arial"/>
          <w:sz w:val="24"/>
          <w:szCs w:val="24"/>
          <w:lang w:val="en-US"/>
        </w:rPr>
      </w:pPr>
    </w:p>
    <w:p w14:paraId="10C499C9" w14:textId="56B995DC" w:rsidR="00C51139" w:rsidRDefault="00C51139" w:rsidP="007E15C2">
      <w:pPr>
        <w:spacing w:after="0" w:line="360" w:lineRule="auto"/>
        <w:jc w:val="both"/>
        <w:rPr>
          <w:rFonts w:ascii="Arial" w:eastAsia="Calibri" w:hAnsi="Arial" w:cs="Arial"/>
          <w:sz w:val="24"/>
          <w:szCs w:val="24"/>
          <w:lang w:val="en-US"/>
        </w:rPr>
      </w:pPr>
    </w:p>
    <w:p w14:paraId="28B6F4B6" w14:textId="46EEC17C" w:rsidR="00C51139" w:rsidRDefault="00C51139" w:rsidP="007E15C2">
      <w:pPr>
        <w:spacing w:after="0" w:line="360" w:lineRule="auto"/>
        <w:jc w:val="both"/>
        <w:rPr>
          <w:rFonts w:ascii="Arial" w:eastAsia="Calibri" w:hAnsi="Arial" w:cs="Arial"/>
          <w:sz w:val="24"/>
          <w:szCs w:val="24"/>
          <w:lang w:val="en-US"/>
        </w:rPr>
      </w:pPr>
    </w:p>
    <w:p w14:paraId="50819879" w14:textId="426B1270" w:rsidR="00C51139" w:rsidRDefault="00C51139" w:rsidP="007E15C2">
      <w:pPr>
        <w:spacing w:after="0" w:line="360" w:lineRule="auto"/>
        <w:jc w:val="both"/>
        <w:rPr>
          <w:rFonts w:ascii="Arial" w:eastAsia="Calibri" w:hAnsi="Arial" w:cs="Arial"/>
          <w:sz w:val="24"/>
          <w:szCs w:val="24"/>
          <w:lang w:val="en-US"/>
        </w:rPr>
      </w:pPr>
    </w:p>
    <w:p w14:paraId="20AF3B5D" w14:textId="3C5E5B39" w:rsidR="00C51139" w:rsidRDefault="00C51139" w:rsidP="007E15C2">
      <w:pPr>
        <w:spacing w:after="0" w:line="360" w:lineRule="auto"/>
        <w:jc w:val="both"/>
        <w:rPr>
          <w:rFonts w:ascii="Arial" w:eastAsia="Calibri" w:hAnsi="Arial" w:cs="Arial"/>
          <w:sz w:val="24"/>
          <w:szCs w:val="24"/>
          <w:lang w:val="en-US"/>
        </w:rPr>
      </w:pPr>
    </w:p>
    <w:p w14:paraId="0ADE6A1C" w14:textId="3CFACF67" w:rsidR="00C51139" w:rsidRDefault="00C51139" w:rsidP="007E15C2">
      <w:pPr>
        <w:spacing w:after="0" w:line="360" w:lineRule="auto"/>
        <w:jc w:val="both"/>
        <w:rPr>
          <w:rFonts w:ascii="Arial" w:eastAsia="Calibri" w:hAnsi="Arial" w:cs="Arial"/>
          <w:sz w:val="24"/>
          <w:szCs w:val="24"/>
          <w:lang w:val="en-US"/>
        </w:rPr>
      </w:pPr>
    </w:p>
    <w:p w14:paraId="7CF37D74" w14:textId="1DDF4504" w:rsidR="00C51139" w:rsidRDefault="00C51139" w:rsidP="007E15C2">
      <w:pPr>
        <w:spacing w:after="0" w:line="360" w:lineRule="auto"/>
        <w:jc w:val="both"/>
        <w:rPr>
          <w:rFonts w:ascii="Arial" w:eastAsia="Calibri" w:hAnsi="Arial" w:cs="Arial"/>
          <w:sz w:val="24"/>
          <w:szCs w:val="24"/>
          <w:lang w:val="en-US"/>
        </w:rPr>
      </w:pPr>
    </w:p>
    <w:p w14:paraId="19677BE7" w14:textId="30953CEB" w:rsidR="00C51139" w:rsidRDefault="00C51139" w:rsidP="007E15C2">
      <w:pPr>
        <w:spacing w:after="0" w:line="360" w:lineRule="auto"/>
        <w:jc w:val="both"/>
        <w:rPr>
          <w:rFonts w:ascii="Arial" w:eastAsia="Calibri" w:hAnsi="Arial" w:cs="Arial"/>
          <w:sz w:val="24"/>
          <w:szCs w:val="24"/>
          <w:lang w:val="en-US"/>
        </w:rPr>
      </w:pPr>
    </w:p>
    <w:p w14:paraId="684ED245" w14:textId="1F343FBC" w:rsidR="00C51139" w:rsidRDefault="00C51139" w:rsidP="007E15C2">
      <w:pPr>
        <w:spacing w:after="0" w:line="360" w:lineRule="auto"/>
        <w:jc w:val="both"/>
        <w:rPr>
          <w:rFonts w:ascii="Arial" w:eastAsia="Calibri" w:hAnsi="Arial" w:cs="Arial"/>
          <w:sz w:val="24"/>
          <w:szCs w:val="24"/>
          <w:lang w:val="en-US"/>
        </w:rPr>
      </w:pPr>
    </w:p>
    <w:p w14:paraId="327DCBD7" w14:textId="57BC4DFD" w:rsidR="00C51139" w:rsidRDefault="00C51139" w:rsidP="007E15C2">
      <w:pPr>
        <w:spacing w:after="0" w:line="360" w:lineRule="auto"/>
        <w:jc w:val="both"/>
        <w:rPr>
          <w:rFonts w:ascii="Arial" w:eastAsia="Calibri" w:hAnsi="Arial" w:cs="Arial"/>
          <w:sz w:val="24"/>
          <w:szCs w:val="24"/>
          <w:lang w:val="en-US"/>
        </w:rPr>
      </w:pPr>
    </w:p>
    <w:p w14:paraId="6E08C045" w14:textId="7EA25A05" w:rsidR="00C51139" w:rsidRDefault="00C51139" w:rsidP="007E15C2">
      <w:pPr>
        <w:spacing w:after="0" w:line="360" w:lineRule="auto"/>
        <w:jc w:val="both"/>
        <w:rPr>
          <w:rFonts w:ascii="Arial" w:eastAsia="Calibri" w:hAnsi="Arial" w:cs="Arial"/>
          <w:sz w:val="24"/>
          <w:szCs w:val="24"/>
          <w:lang w:val="en-US"/>
        </w:rPr>
      </w:pPr>
    </w:p>
    <w:p w14:paraId="35645CAA" w14:textId="46E46209" w:rsidR="00C51139" w:rsidRDefault="00C51139" w:rsidP="007E15C2">
      <w:pPr>
        <w:spacing w:after="0" w:line="360" w:lineRule="auto"/>
        <w:jc w:val="both"/>
        <w:rPr>
          <w:rFonts w:ascii="Arial" w:eastAsia="Calibri" w:hAnsi="Arial" w:cs="Arial"/>
          <w:sz w:val="24"/>
          <w:szCs w:val="24"/>
          <w:lang w:val="en-US"/>
        </w:rPr>
      </w:pPr>
    </w:p>
    <w:p w14:paraId="4291D487" w14:textId="76B6D7C7" w:rsidR="00C51139" w:rsidRDefault="00C51139" w:rsidP="007E15C2">
      <w:pPr>
        <w:spacing w:after="0" w:line="360" w:lineRule="auto"/>
        <w:jc w:val="both"/>
        <w:rPr>
          <w:rFonts w:ascii="Arial" w:eastAsia="Calibri" w:hAnsi="Arial" w:cs="Arial"/>
          <w:sz w:val="24"/>
          <w:szCs w:val="24"/>
          <w:lang w:val="en-US"/>
        </w:rPr>
      </w:pPr>
    </w:p>
    <w:p w14:paraId="5F80F596" w14:textId="0FC4FCC7" w:rsidR="00C51139" w:rsidRDefault="00C51139" w:rsidP="007E15C2">
      <w:pPr>
        <w:spacing w:after="0" w:line="360" w:lineRule="auto"/>
        <w:jc w:val="both"/>
        <w:rPr>
          <w:rFonts w:ascii="Arial" w:eastAsia="Calibri" w:hAnsi="Arial" w:cs="Arial"/>
          <w:sz w:val="24"/>
          <w:szCs w:val="24"/>
          <w:lang w:val="en-US"/>
        </w:rPr>
      </w:pPr>
    </w:p>
    <w:p w14:paraId="13221D63" w14:textId="07C396E3" w:rsidR="00C51139" w:rsidRDefault="00C51139" w:rsidP="007E15C2">
      <w:pPr>
        <w:spacing w:after="0" w:line="360" w:lineRule="auto"/>
        <w:jc w:val="both"/>
        <w:rPr>
          <w:rFonts w:ascii="Arial" w:eastAsia="Calibri" w:hAnsi="Arial" w:cs="Arial"/>
          <w:sz w:val="24"/>
          <w:szCs w:val="24"/>
          <w:lang w:val="en-US"/>
        </w:rPr>
      </w:pPr>
    </w:p>
    <w:p w14:paraId="75802C6C" w14:textId="400FBFF2" w:rsidR="00C51139" w:rsidRDefault="00C51139" w:rsidP="007E15C2">
      <w:pPr>
        <w:spacing w:after="0" w:line="360" w:lineRule="auto"/>
        <w:jc w:val="both"/>
        <w:rPr>
          <w:rFonts w:ascii="Arial" w:eastAsia="Calibri" w:hAnsi="Arial" w:cs="Arial"/>
          <w:sz w:val="24"/>
          <w:szCs w:val="24"/>
          <w:lang w:val="en-US"/>
        </w:rPr>
      </w:pPr>
    </w:p>
    <w:p w14:paraId="37437451" w14:textId="2B468136" w:rsidR="00C51139" w:rsidRDefault="00C51139" w:rsidP="007E15C2">
      <w:pPr>
        <w:spacing w:after="0" w:line="360" w:lineRule="auto"/>
        <w:jc w:val="both"/>
        <w:rPr>
          <w:rFonts w:ascii="Arial" w:eastAsia="Calibri" w:hAnsi="Arial" w:cs="Arial"/>
          <w:sz w:val="24"/>
          <w:szCs w:val="24"/>
          <w:lang w:val="en-US"/>
        </w:rPr>
      </w:pPr>
    </w:p>
    <w:p w14:paraId="4AD7D174" w14:textId="7B447793" w:rsidR="00C51139" w:rsidRDefault="00C51139" w:rsidP="007E15C2">
      <w:pPr>
        <w:spacing w:after="0" w:line="360" w:lineRule="auto"/>
        <w:jc w:val="both"/>
        <w:rPr>
          <w:rFonts w:ascii="Arial" w:eastAsia="Calibri" w:hAnsi="Arial" w:cs="Arial"/>
          <w:sz w:val="24"/>
          <w:szCs w:val="24"/>
          <w:lang w:val="en-US"/>
        </w:rPr>
      </w:pPr>
    </w:p>
    <w:p w14:paraId="0CAC47DA" w14:textId="0CB09553" w:rsidR="00C51139" w:rsidRDefault="00C51139" w:rsidP="007E15C2">
      <w:pPr>
        <w:spacing w:after="0" w:line="360" w:lineRule="auto"/>
        <w:jc w:val="both"/>
        <w:rPr>
          <w:rFonts w:ascii="Arial" w:eastAsia="Calibri" w:hAnsi="Arial" w:cs="Arial"/>
          <w:sz w:val="24"/>
          <w:szCs w:val="24"/>
          <w:lang w:val="en-US"/>
        </w:rPr>
      </w:pPr>
    </w:p>
    <w:p w14:paraId="6D5D4719" w14:textId="7A03AA2B" w:rsidR="00C51139" w:rsidRDefault="00C51139" w:rsidP="007E15C2">
      <w:pPr>
        <w:spacing w:after="0" w:line="360" w:lineRule="auto"/>
        <w:jc w:val="both"/>
        <w:rPr>
          <w:rFonts w:ascii="Arial" w:eastAsia="Calibri" w:hAnsi="Arial" w:cs="Arial"/>
          <w:sz w:val="24"/>
          <w:szCs w:val="24"/>
          <w:lang w:val="en-US"/>
        </w:rPr>
      </w:pPr>
    </w:p>
    <w:p w14:paraId="79A4286E" w14:textId="6A0E5123" w:rsidR="00C51139" w:rsidRDefault="00C51139" w:rsidP="007E15C2">
      <w:pPr>
        <w:spacing w:after="0" w:line="360" w:lineRule="auto"/>
        <w:jc w:val="both"/>
        <w:rPr>
          <w:rFonts w:ascii="Arial" w:eastAsia="Calibri" w:hAnsi="Arial" w:cs="Arial"/>
          <w:sz w:val="24"/>
          <w:szCs w:val="24"/>
          <w:lang w:val="en-US"/>
        </w:rPr>
      </w:pPr>
    </w:p>
    <w:p w14:paraId="424B8AA6" w14:textId="4308A71B" w:rsidR="00C51139" w:rsidRDefault="00C51139" w:rsidP="007E15C2">
      <w:pPr>
        <w:spacing w:after="0" w:line="360" w:lineRule="auto"/>
        <w:jc w:val="both"/>
        <w:rPr>
          <w:rFonts w:ascii="Arial" w:eastAsia="Calibri" w:hAnsi="Arial" w:cs="Arial"/>
          <w:sz w:val="24"/>
          <w:szCs w:val="24"/>
          <w:lang w:val="en-US"/>
        </w:rPr>
      </w:pPr>
    </w:p>
    <w:p w14:paraId="3DFF7D9E" w14:textId="12922445" w:rsidR="00C51139" w:rsidRDefault="00C51139" w:rsidP="007E15C2">
      <w:pPr>
        <w:spacing w:after="0" w:line="360" w:lineRule="auto"/>
        <w:jc w:val="both"/>
        <w:rPr>
          <w:rFonts w:ascii="Arial" w:eastAsia="Calibri" w:hAnsi="Arial" w:cs="Arial"/>
          <w:sz w:val="24"/>
          <w:szCs w:val="24"/>
          <w:lang w:val="en-US"/>
        </w:rPr>
      </w:pPr>
    </w:p>
    <w:p w14:paraId="0B8614F4" w14:textId="614CDBA9" w:rsidR="00C51139" w:rsidRDefault="00C51139" w:rsidP="007E15C2">
      <w:pPr>
        <w:spacing w:after="0" w:line="360" w:lineRule="auto"/>
        <w:jc w:val="both"/>
        <w:rPr>
          <w:rFonts w:ascii="Arial" w:eastAsia="Calibri" w:hAnsi="Arial" w:cs="Arial"/>
          <w:sz w:val="24"/>
          <w:szCs w:val="24"/>
          <w:lang w:val="en-US"/>
        </w:rPr>
      </w:pPr>
    </w:p>
    <w:p w14:paraId="5C93E00C" w14:textId="6C1635D4" w:rsidR="00C51139" w:rsidRDefault="00C51139" w:rsidP="007E15C2">
      <w:pPr>
        <w:spacing w:after="0" w:line="360" w:lineRule="auto"/>
        <w:jc w:val="both"/>
        <w:rPr>
          <w:rFonts w:ascii="Arial" w:eastAsia="Calibri" w:hAnsi="Arial" w:cs="Arial"/>
          <w:sz w:val="24"/>
          <w:szCs w:val="24"/>
          <w:lang w:val="en-US"/>
        </w:rPr>
      </w:pPr>
    </w:p>
    <w:p w14:paraId="2B1BF3F0" w14:textId="5217F76E" w:rsidR="00C51139" w:rsidRDefault="00C51139" w:rsidP="007E15C2">
      <w:pPr>
        <w:spacing w:after="0" w:line="360" w:lineRule="auto"/>
        <w:jc w:val="both"/>
        <w:rPr>
          <w:rFonts w:ascii="Arial" w:eastAsia="Calibri" w:hAnsi="Arial" w:cs="Arial"/>
          <w:sz w:val="24"/>
          <w:szCs w:val="24"/>
          <w:lang w:val="en-US"/>
        </w:rPr>
      </w:pPr>
    </w:p>
    <w:p w14:paraId="7C7C282D" w14:textId="741E3A01" w:rsidR="00C51139" w:rsidRDefault="00C51139" w:rsidP="007E15C2">
      <w:pPr>
        <w:spacing w:after="0" w:line="360" w:lineRule="auto"/>
        <w:jc w:val="both"/>
        <w:rPr>
          <w:rFonts w:ascii="Arial" w:eastAsia="Calibri" w:hAnsi="Arial" w:cs="Arial"/>
          <w:sz w:val="24"/>
          <w:szCs w:val="24"/>
          <w:lang w:val="en-US"/>
        </w:rPr>
      </w:pPr>
    </w:p>
    <w:p w14:paraId="46A41B32" w14:textId="77777777" w:rsidR="00C51139" w:rsidRDefault="00C51139" w:rsidP="007E15C2">
      <w:pPr>
        <w:spacing w:after="0" w:line="360" w:lineRule="auto"/>
        <w:jc w:val="both"/>
        <w:rPr>
          <w:rFonts w:ascii="Arial" w:eastAsia="Calibri" w:hAnsi="Arial" w:cs="Arial"/>
          <w:sz w:val="24"/>
          <w:szCs w:val="24"/>
          <w:lang w:val="en-US"/>
        </w:rPr>
      </w:pPr>
    </w:p>
    <w:p w14:paraId="480D0761" w14:textId="47E08A24" w:rsidR="00145C72" w:rsidRDefault="00145C72" w:rsidP="007E15C2">
      <w:pPr>
        <w:spacing w:after="0" w:line="360" w:lineRule="auto"/>
        <w:jc w:val="both"/>
        <w:rPr>
          <w:rFonts w:ascii="Arial" w:eastAsia="Calibri" w:hAnsi="Arial" w:cs="Arial"/>
          <w:sz w:val="24"/>
          <w:szCs w:val="24"/>
          <w:lang w:val="en-US"/>
        </w:rPr>
      </w:pPr>
    </w:p>
    <w:p w14:paraId="039BCE96" w14:textId="0D152189" w:rsidR="00145C72" w:rsidRDefault="00145C72" w:rsidP="00145C72">
      <w:pPr>
        <w:spacing w:after="0" w:line="360" w:lineRule="auto"/>
        <w:jc w:val="both"/>
        <w:rPr>
          <w:rFonts w:ascii="Arial" w:eastAsia="Calibri" w:hAnsi="Arial" w:cs="Arial"/>
          <w:b/>
          <w:sz w:val="24"/>
          <w:szCs w:val="24"/>
          <w:lang w:val="en-US"/>
        </w:rPr>
      </w:pPr>
      <w:r w:rsidRPr="00145C72">
        <w:rPr>
          <w:rFonts w:ascii="Arial" w:eastAsia="Calibri" w:hAnsi="Arial" w:cs="Arial"/>
          <w:b/>
          <w:sz w:val="24"/>
          <w:szCs w:val="24"/>
          <w:lang w:val="en-US"/>
        </w:rPr>
        <w:lastRenderedPageBreak/>
        <w:t>References</w:t>
      </w:r>
    </w:p>
    <w:p w14:paraId="7EB42A74" w14:textId="77777777" w:rsidR="00145C72" w:rsidRPr="00145C72" w:rsidRDefault="00145C72" w:rsidP="00145C72">
      <w:pPr>
        <w:spacing w:after="0" w:line="360" w:lineRule="auto"/>
        <w:jc w:val="both"/>
        <w:rPr>
          <w:rFonts w:ascii="Arial" w:eastAsia="Calibri" w:hAnsi="Arial" w:cs="Arial"/>
          <w:b/>
          <w:sz w:val="24"/>
          <w:szCs w:val="24"/>
          <w:lang w:val="en-US"/>
        </w:rPr>
      </w:pPr>
    </w:p>
    <w:p w14:paraId="7217201C" w14:textId="1CD1FC76" w:rsidR="00145C72" w:rsidRPr="002C67B9" w:rsidRDefault="00145C72" w:rsidP="00145C72">
      <w:pPr>
        <w:pStyle w:val="ListParagraph"/>
        <w:numPr>
          <w:ilvl w:val="0"/>
          <w:numId w:val="2"/>
        </w:numPr>
        <w:spacing w:after="0" w:line="360" w:lineRule="auto"/>
        <w:jc w:val="both"/>
        <w:rPr>
          <w:rFonts w:ascii="Arial" w:eastAsia="Calibri" w:hAnsi="Arial" w:cs="Arial"/>
          <w:sz w:val="24"/>
          <w:szCs w:val="24"/>
          <w:lang w:val="en-US"/>
        </w:rPr>
      </w:pPr>
      <w:r w:rsidRPr="00145C72">
        <w:rPr>
          <w:rFonts w:ascii="Arial" w:hAnsi="Arial" w:cs="Arial"/>
          <w:sz w:val="24"/>
          <w:szCs w:val="24"/>
        </w:rPr>
        <w:t>Thomas, S., Harty, M.A., Parrott, J., McCrone, P., Slade, M. &amp; Thornicroft, G. CANFOR: Camberwell assessment of need-forensic version. London: Gaskell. 2003.</w:t>
      </w:r>
      <w:r w:rsidR="00332DD4">
        <w:rPr>
          <w:rFonts w:ascii="Arial" w:hAnsi="Arial" w:cs="Arial"/>
          <w:sz w:val="24"/>
          <w:szCs w:val="24"/>
        </w:rPr>
        <w:t xml:space="preserve"> </w:t>
      </w:r>
    </w:p>
    <w:p w14:paraId="3ECEF264" w14:textId="77777777" w:rsidR="002C67B9" w:rsidRPr="00332DD4" w:rsidRDefault="002C67B9" w:rsidP="002C67B9">
      <w:pPr>
        <w:pStyle w:val="ListParagraph"/>
        <w:spacing w:after="0" w:line="360" w:lineRule="auto"/>
        <w:jc w:val="both"/>
        <w:rPr>
          <w:rFonts w:ascii="Arial" w:eastAsia="Calibri" w:hAnsi="Arial" w:cs="Arial"/>
          <w:sz w:val="24"/>
          <w:szCs w:val="24"/>
          <w:lang w:val="en-US"/>
        </w:rPr>
      </w:pPr>
    </w:p>
    <w:p w14:paraId="6703DCF9" w14:textId="2D7881BF" w:rsidR="00332DD4" w:rsidRDefault="00332DD4" w:rsidP="00332DD4">
      <w:pPr>
        <w:pStyle w:val="ListParagraph"/>
        <w:numPr>
          <w:ilvl w:val="0"/>
          <w:numId w:val="2"/>
        </w:numPr>
        <w:autoSpaceDE w:val="0"/>
        <w:autoSpaceDN w:val="0"/>
        <w:adjustRightInd w:val="0"/>
        <w:spacing w:after="0" w:line="360" w:lineRule="auto"/>
        <w:rPr>
          <w:rFonts w:ascii="Arial" w:hAnsi="Arial" w:cs="Arial"/>
          <w:sz w:val="24"/>
          <w:szCs w:val="24"/>
        </w:rPr>
      </w:pPr>
      <w:r w:rsidRPr="00332DD4">
        <w:rPr>
          <w:rFonts w:ascii="Arial" w:hAnsi="Arial" w:cs="Arial"/>
          <w:sz w:val="24"/>
          <w:szCs w:val="24"/>
        </w:rPr>
        <w:t>Al-Janabi, H., Flynn, T. &amp; Coast J. Development of a self-report measure of capability wellbeing for adults: the ICECAP-A. Quality of Life Research, 2012;21:167-176. doi: 10.1007/s11136-011-9927-2</w:t>
      </w:r>
    </w:p>
    <w:p w14:paraId="09A39002" w14:textId="77777777" w:rsidR="002C67B9" w:rsidRPr="002C67B9" w:rsidRDefault="002C67B9" w:rsidP="002C67B9">
      <w:pPr>
        <w:pStyle w:val="ListParagraph"/>
        <w:rPr>
          <w:rFonts w:ascii="Arial" w:hAnsi="Arial" w:cs="Arial"/>
          <w:sz w:val="24"/>
          <w:szCs w:val="24"/>
        </w:rPr>
      </w:pPr>
    </w:p>
    <w:p w14:paraId="03164D63" w14:textId="77777777" w:rsidR="002C67B9" w:rsidRPr="00332DD4" w:rsidRDefault="002C67B9" w:rsidP="002C67B9">
      <w:pPr>
        <w:pStyle w:val="ListParagraph"/>
        <w:autoSpaceDE w:val="0"/>
        <w:autoSpaceDN w:val="0"/>
        <w:adjustRightInd w:val="0"/>
        <w:spacing w:after="0" w:line="360" w:lineRule="auto"/>
        <w:rPr>
          <w:rFonts w:ascii="Arial" w:hAnsi="Arial" w:cs="Arial"/>
          <w:sz w:val="24"/>
          <w:szCs w:val="24"/>
        </w:rPr>
      </w:pPr>
    </w:p>
    <w:p w14:paraId="579358EF" w14:textId="088C6D7D" w:rsidR="00332DD4" w:rsidRDefault="00332DD4" w:rsidP="00332DD4">
      <w:pPr>
        <w:pStyle w:val="ListParagraph"/>
        <w:numPr>
          <w:ilvl w:val="0"/>
          <w:numId w:val="2"/>
        </w:numPr>
        <w:autoSpaceDE w:val="0"/>
        <w:autoSpaceDN w:val="0"/>
        <w:adjustRightInd w:val="0"/>
        <w:spacing w:after="0" w:line="360" w:lineRule="auto"/>
        <w:rPr>
          <w:rFonts w:ascii="Arial" w:hAnsi="Arial" w:cs="Arial"/>
          <w:sz w:val="24"/>
          <w:szCs w:val="24"/>
        </w:rPr>
      </w:pPr>
      <w:r w:rsidRPr="00332DD4">
        <w:rPr>
          <w:rFonts w:ascii="Arial" w:hAnsi="Arial" w:cs="Arial"/>
          <w:sz w:val="24"/>
          <w:szCs w:val="24"/>
        </w:rPr>
        <w:t>Maguire, M., Disley, E., Liddle, M., Meek, R. &amp; Burrowes, N. Developing a toolkit to measure intermediate outcomes to reduce reoffending. London: Ministry of Justice Analytical Series. 2017.</w:t>
      </w:r>
    </w:p>
    <w:p w14:paraId="0E5108F0" w14:textId="77777777" w:rsidR="002C67B9" w:rsidRDefault="002C67B9" w:rsidP="002C67B9">
      <w:pPr>
        <w:pStyle w:val="ListParagraph"/>
        <w:autoSpaceDE w:val="0"/>
        <w:autoSpaceDN w:val="0"/>
        <w:adjustRightInd w:val="0"/>
        <w:spacing w:after="0" w:line="360" w:lineRule="auto"/>
        <w:rPr>
          <w:rFonts w:ascii="Arial" w:hAnsi="Arial" w:cs="Arial"/>
          <w:sz w:val="24"/>
          <w:szCs w:val="24"/>
        </w:rPr>
      </w:pPr>
      <w:bookmarkStart w:id="11" w:name="_GoBack"/>
      <w:bookmarkEnd w:id="11"/>
    </w:p>
    <w:p w14:paraId="14DEA1A0" w14:textId="172F7C35" w:rsidR="00B01C82" w:rsidRPr="00332DD4" w:rsidRDefault="00B01C82" w:rsidP="00332DD4">
      <w:pPr>
        <w:pStyle w:val="ListParagraph"/>
        <w:numPr>
          <w:ilvl w:val="0"/>
          <w:numId w:val="2"/>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Barkham, M., Mullin, T., Leach, C., Stiles, W.B. &amp; Lucock, M. Stability of the CORE-OM and the BDI-I prior to therapy: evidence from routine practice. Psychol Psychother. 2007; 80(Pt 2):269</w:t>
      </w:r>
      <w:r w:rsidRPr="009C293E">
        <w:rPr>
          <w:rFonts w:ascii="Cambria Math" w:hAnsi="Cambria Math" w:cs="Cambria Math"/>
          <w:sz w:val="24"/>
          <w:szCs w:val="24"/>
        </w:rPr>
        <w:t>‐</w:t>
      </w:r>
      <w:r w:rsidRPr="009C293E">
        <w:rPr>
          <w:rFonts w:ascii="Arial" w:hAnsi="Arial" w:cs="Arial"/>
          <w:sz w:val="24"/>
          <w:szCs w:val="24"/>
        </w:rPr>
        <w:t>278.</w:t>
      </w:r>
    </w:p>
    <w:p w14:paraId="3672A3D4" w14:textId="77777777" w:rsidR="00332DD4" w:rsidRPr="00145C72" w:rsidRDefault="00332DD4" w:rsidP="00332DD4">
      <w:pPr>
        <w:pStyle w:val="ListParagraph"/>
        <w:spacing w:after="0" w:line="360" w:lineRule="auto"/>
        <w:jc w:val="both"/>
        <w:rPr>
          <w:rFonts w:ascii="Arial" w:eastAsia="Calibri" w:hAnsi="Arial" w:cs="Arial"/>
          <w:sz w:val="24"/>
          <w:szCs w:val="24"/>
          <w:lang w:val="en-US"/>
        </w:rPr>
      </w:pPr>
    </w:p>
    <w:p w14:paraId="31F14230" w14:textId="77777777" w:rsidR="00145C72" w:rsidRPr="00145C72" w:rsidRDefault="00145C72" w:rsidP="00145C72">
      <w:pPr>
        <w:spacing w:after="0" w:line="360" w:lineRule="auto"/>
        <w:jc w:val="both"/>
        <w:rPr>
          <w:rFonts w:ascii="Arial" w:eastAsia="Calibri" w:hAnsi="Arial" w:cs="Arial"/>
          <w:sz w:val="24"/>
          <w:szCs w:val="24"/>
          <w:lang w:val="en-US"/>
        </w:rPr>
      </w:pPr>
    </w:p>
    <w:p w14:paraId="7102CCDA" w14:textId="77777777" w:rsidR="00145C72" w:rsidRPr="007E15C2" w:rsidRDefault="00145C72" w:rsidP="007E15C2">
      <w:pPr>
        <w:spacing w:after="0" w:line="360" w:lineRule="auto"/>
        <w:jc w:val="both"/>
        <w:rPr>
          <w:rFonts w:ascii="Arial" w:eastAsia="Calibri" w:hAnsi="Arial" w:cs="Arial"/>
          <w:sz w:val="24"/>
          <w:szCs w:val="24"/>
          <w:lang w:val="en-US"/>
        </w:rPr>
      </w:pPr>
    </w:p>
    <w:p w14:paraId="633FF160"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310D"/>
    <w:multiLevelType w:val="hybridMultilevel"/>
    <w:tmpl w:val="D90E9EF0"/>
    <w:lvl w:ilvl="0" w:tplc="CE9A8DD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82CD7"/>
    <w:multiLevelType w:val="hybridMultilevel"/>
    <w:tmpl w:val="B9DA8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C2"/>
    <w:rsid w:val="00145C72"/>
    <w:rsid w:val="002C67B9"/>
    <w:rsid w:val="00332DD4"/>
    <w:rsid w:val="003A3CEF"/>
    <w:rsid w:val="007E15C2"/>
    <w:rsid w:val="00807360"/>
    <w:rsid w:val="009954D1"/>
    <w:rsid w:val="00A07997"/>
    <w:rsid w:val="00A82DF2"/>
    <w:rsid w:val="00B01C82"/>
    <w:rsid w:val="00C51139"/>
    <w:rsid w:val="00E9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B376"/>
  <w15:chartTrackingRefBased/>
  <w15:docId w15:val="{E48DE16E-D47A-4948-B028-0069B6B4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FCC18-8C6C-4855-A155-11AE909D9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9B559-58BA-4DC0-A0CE-9808DB14F6C6}">
  <ds:schemaRefs>
    <ds:schemaRef ds:uri="http://schemas.microsoft.com/sharepoint/v3/contenttype/forms"/>
  </ds:schemaRefs>
</ds:datastoreItem>
</file>

<file path=customXml/itemProps3.xml><?xml version="1.0" encoding="utf-8"?>
<ds:datastoreItem xmlns:ds="http://schemas.openxmlformats.org/officeDocument/2006/customXml" ds:itemID="{9CEE9B85-90A4-465F-87F7-6F65D04B82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6f9b69-2006-42c7-9a90-7cab2c2880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12</cp:revision>
  <dcterms:created xsi:type="dcterms:W3CDTF">2022-02-22T11:01:00Z</dcterms:created>
  <dcterms:modified xsi:type="dcterms:W3CDTF">2022-02-24T09:29:00Z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