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715A" w14:textId="77777777" w:rsidR="00A73BCE" w:rsidRPr="0057023B" w:rsidRDefault="00A73BCE" w:rsidP="00A73BCE">
      <w:pPr>
        <w:spacing w:line="240" w:lineRule="auto"/>
        <w:rPr>
          <w:b/>
          <w:iCs/>
          <w:color w:val="44546A" w:themeColor="text2"/>
        </w:rPr>
      </w:pPr>
      <w:r>
        <w:rPr>
          <w:b/>
          <w:iCs/>
          <w:color w:val="44546A" w:themeColor="text2"/>
        </w:rPr>
        <w:t>Supplementary Material 2</w:t>
      </w:r>
      <w:r w:rsidRPr="00771338">
        <w:rPr>
          <w:b/>
          <w:iCs/>
          <w:color w:val="44546A" w:themeColor="text2"/>
        </w:rPr>
        <w:t>.</w:t>
      </w:r>
      <w:r w:rsidRPr="0057023B">
        <w:rPr>
          <w:b/>
          <w:iCs/>
          <w:color w:val="44546A" w:themeColor="text2"/>
        </w:rPr>
        <w:t xml:space="preserve"> Long-term conditions in </w:t>
      </w:r>
      <w:proofErr w:type="spellStart"/>
      <w:r>
        <w:rPr>
          <w:b/>
          <w:iCs/>
          <w:color w:val="44546A" w:themeColor="text2"/>
        </w:rPr>
        <w:t>USoc</w:t>
      </w:r>
      <w:proofErr w:type="spellEnd"/>
    </w:p>
    <w:p w14:paraId="089D6855" w14:textId="77777777" w:rsidR="00A73BCE" w:rsidRDefault="00A73BCE" w:rsidP="00A73BCE">
      <w:pPr>
        <w:spacing w:line="240" w:lineRule="auto"/>
      </w:pPr>
      <w:r>
        <w:t xml:space="preserve">We explored the survey measure of long-term conditions from </w:t>
      </w:r>
      <w:proofErr w:type="spellStart"/>
      <w:r>
        <w:t>USoc</w:t>
      </w:r>
      <w:proofErr w:type="spellEnd"/>
      <w:r>
        <w:t xml:space="preserve"> and compared the prevalence and positive predictive value of the responses compared with long-term condition prevalence recorded in secondary care electronic healthcare records.  We used data from </w:t>
      </w:r>
      <w:proofErr w:type="spellStart"/>
      <w:r>
        <w:t>USoc</w:t>
      </w:r>
      <w:proofErr w:type="spellEnd"/>
      <w:r>
        <w:t xml:space="preserve"> linked to Scottish Morbidity Records (linkage data from England, Wales and NI were not available).</w:t>
      </w:r>
      <w:r>
        <w:rPr>
          <w:rStyle w:val="FootnoteReference"/>
        </w:rPr>
        <w:footnoteReference w:id="1"/>
      </w:r>
      <w:r>
        <w:t xml:space="preserve"> </w:t>
      </w:r>
    </w:p>
    <w:p w14:paraId="19B8482B" w14:textId="77777777" w:rsidR="00A73BCE" w:rsidRDefault="00A73BCE" w:rsidP="00A73BCE">
      <w:pPr>
        <w:spacing w:line="240" w:lineRule="auto"/>
      </w:pPr>
      <w:r>
        <w:t xml:space="preserve">We included in this analysis all </w:t>
      </w:r>
      <w:proofErr w:type="spellStart"/>
      <w:r>
        <w:t>USoc</w:t>
      </w:r>
      <w:proofErr w:type="spellEnd"/>
      <w:r>
        <w:t xml:space="preserve"> participants for whom linked secondary healthcare data were available </w:t>
      </w:r>
      <w:r w:rsidRPr="00FB4F0E">
        <w:t>(n=4,307, n=2,376 with long-te</w:t>
      </w:r>
      <w:r>
        <w:t>rm conditions measured in 2009</w:t>
      </w:r>
      <w:r w:rsidRPr="00FB4F0E">
        <w:t xml:space="preserve">).  </w:t>
      </w:r>
      <w:r>
        <w:t xml:space="preserve">Long-term conditions in </w:t>
      </w:r>
      <w:proofErr w:type="spellStart"/>
      <w:r>
        <w:t>USoc</w:t>
      </w:r>
      <w:proofErr w:type="spellEnd"/>
      <w:r>
        <w:t xml:space="preserve"> were recorded if they had ever appeared in survey responses between 2009 and 2018.  In linked data we included all secondary care inpatient admissions until 2018.  We mapped survey response options to the appropriate ICD9 and ICD10 codes.</w:t>
      </w:r>
    </w:p>
    <w:p w14:paraId="4DB55171" w14:textId="77777777" w:rsidR="00A73BCE" w:rsidRDefault="00A73BCE" w:rsidP="00A73BCE">
      <w:pPr>
        <w:spacing w:line="240" w:lineRule="auto"/>
      </w:pPr>
      <w:r>
        <w:t xml:space="preserve">The survey question from </w:t>
      </w:r>
      <w:proofErr w:type="spellStart"/>
      <w:r>
        <w:t>USoc</w:t>
      </w:r>
      <w:proofErr w:type="spellEnd"/>
      <w:r>
        <w:t xml:space="preserve"> was initially developed from an existing survey tool (National Health and Nutrition Examination Survey, NHANES) with further long-term conditions added in 2017 and in 2020 in the COVID-19 waves. Only long-term conditions from the earlier waves are included in this validation although all responses from the COVID-19 version of the question were used in this main analysis.</w:t>
      </w:r>
    </w:p>
    <w:p w14:paraId="40024241" w14:textId="77777777" w:rsidR="00A73BCE" w:rsidRDefault="00A73BCE" w:rsidP="00A73BCE">
      <w:pPr>
        <w:spacing w:line="240" w:lineRule="auto"/>
      </w:pPr>
      <w:r>
        <w:t xml:space="preserve">We initially described the completeness of the linkage by age (Supplementary Material 2, Table 1), compared the prevalence of long-term conditions in </w:t>
      </w:r>
      <w:proofErr w:type="spellStart"/>
      <w:r>
        <w:t>USoc</w:t>
      </w:r>
      <w:proofErr w:type="spellEnd"/>
      <w:r>
        <w:t xml:space="preserve"> with hospital records (Supplementary Material 2, Table 2), and calculated the positive predictive value (PPV) of both for the other (Supplementary Material 2, Figure 1).  </w:t>
      </w:r>
      <w:r w:rsidRPr="00E23C8D">
        <w:t>If a patient's h</w:t>
      </w:r>
      <w:r>
        <w:t>ospital record has a record for a particular long-term condition</w:t>
      </w:r>
      <w:r w:rsidRPr="00E23C8D">
        <w:t>, then the positive predictive value of the</w:t>
      </w:r>
      <w:r>
        <w:t xml:space="preserve"> hospital record measure of the long-term condition </w:t>
      </w:r>
      <w:r w:rsidRPr="00E23C8D">
        <w:t xml:space="preserve">is the probability that </w:t>
      </w:r>
      <w:r>
        <w:t xml:space="preserve">among people with this condition in their hospital record, </w:t>
      </w:r>
      <w:r w:rsidRPr="00E23C8D">
        <w:t xml:space="preserve">the </w:t>
      </w:r>
      <w:r>
        <w:t xml:space="preserve">response to </w:t>
      </w:r>
      <w:proofErr w:type="spellStart"/>
      <w:r>
        <w:t>USoc</w:t>
      </w:r>
      <w:proofErr w:type="spellEnd"/>
      <w:r>
        <w:t xml:space="preserve"> includes the same long-term condition.  </w:t>
      </w:r>
      <w:r w:rsidRPr="00E23C8D">
        <w:t xml:space="preserve">If a patient's </w:t>
      </w:r>
      <w:proofErr w:type="spellStart"/>
      <w:r>
        <w:t>USoc</w:t>
      </w:r>
      <w:proofErr w:type="spellEnd"/>
      <w:r>
        <w:t xml:space="preserve"> survey response has a record for a particular long-term condition</w:t>
      </w:r>
      <w:r w:rsidRPr="00E23C8D">
        <w:t>, then the positive predictive value of the</w:t>
      </w:r>
      <w:r>
        <w:t xml:space="preserve"> </w:t>
      </w:r>
      <w:proofErr w:type="spellStart"/>
      <w:r>
        <w:t>USoc</w:t>
      </w:r>
      <w:proofErr w:type="spellEnd"/>
      <w:r>
        <w:t xml:space="preserve"> measure of the long-term condition </w:t>
      </w:r>
      <w:r w:rsidRPr="00E23C8D">
        <w:t xml:space="preserve">is the probability </w:t>
      </w:r>
      <w:r>
        <w:t xml:space="preserve">among people with this long-term condition recorded in the survey </w:t>
      </w:r>
      <w:r w:rsidRPr="00E23C8D">
        <w:t xml:space="preserve">that </w:t>
      </w:r>
      <w:r>
        <w:t>the hospital record includes the same long-term condition.</w:t>
      </w:r>
    </w:p>
    <w:p w14:paraId="31B4882A" w14:textId="77777777" w:rsidR="00A73BCE" w:rsidRDefault="00A73BCE" w:rsidP="00A73BCE">
      <w:pPr>
        <w:spacing w:line="240" w:lineRule="auto"/>
      </w:pPr>
      <w:r>
        <w:t xml:space="preserve">We found that linkage is more complete at older ages (Table 1).  This reflects the fact that the probability of inpatient hospital admission increases with age. </w:t>
      </w:r>
    </w:p>
    <w:p w14:paraId="75D870D9" w14:textId="77777777" w:rsidR="00A73BCE" w:rsidRDefault="00A73BCE" w:rsidP="00A73BCE">
      <w:pPr>
        <w:spacing w:line="240" w:lineRule="auto"/>
        <w:rPr>
          <w:b/>
        </w:rPr>
      </w:pPr>
    </w:p>
    <w:p w14:paraId="0B6E1A83" w14:textId="77777777" w:rsidR="00A73BCE" w:rsidRPr="00C54E11" w:rsidRDefault="00A73BCE" w:rsidP="00A73BCE">
      <w:pPr>
        <w:rPr>
          <w:b/>
        </w:rPr>
      </w:pPr>
      <w:r>
        <w:rPr>
          <w:b/>
        </w:rPr>
        <w:t xml:space="preserve">Supplementary Material 2, </w:t>
      </w:r>
      <w:r w:rsidRPr="00C54E11">
        <w:rPr>
          <w:b/>
        </w:rPr>
        <w:t>Table 1. Completeness of linkage by year of birth</w:t>
      </w:r>
    </w:p>
    <w:tbl>
      <w:tblPr>
        <w:tblW w:w="3940" w:type="dxa"/>
        <w:tblInd w:w="93" w:type="dxa"/>
        <w:tblLook w:val="04A0" w:firstRow="1" w:lastRow="0" w:firstColumn="1" w:lastColumn="0" w:noHBand="0" w:noVBand="1"/>
      </w:tblPr>
      <w:tblGrid>
        <w:gridCol w:w="1320"/>
        <w:gridCol w:w="2620"/>
      </w:tblGrid>
      <w:tr w:rsidR="00A73BCE" w:rsidRPr="00AD23D9" w14:paraId="29EDCEE4" w14:textId="77777777" w:rsidTr="005F6321">
        <w:trPr>
          <w:trHeight w:val="300"/>
        </w:trPr>
        <w:tc>
          <w:tcPr>
            <w:tcW w:w="1320" w:type="dxa"/>
            <w:tcBorders>
              <w:top w:val="nil"/>
              <w:left w:val="nil"/>
              <w:bottom w:val="nil"/>
              <w:right w:val="nil"/>
            </w:tcBorders>
            <w:shd w:val="clear" w:color="auto" w:fill="auto"/>
            <w:noWrap/>
            <w:vAlign w:val="bottom"/>
            <w:hideMark/>
          </w:tcPr>
          <w:p w14:paraId="19FBD9CD" w14:textId="77777777" w:rsidR="00A73BCE" w:rsidRPr="00C54E11" w:rsidRDefault="00A73BCE" w:rsidP="005F6321">
            <w:pPr>
              <w:spacing w:after="0" w:line="240" w:lineRule="auto"/>
              <w:rPr>
                <w:b/>
                <w:bCs/>
                <w:sz w:val="20"/>
                <w:szCs w:val="20"/>
                <w:lang w:eastAsia="en-GB"/>
              </w:rPr>
            </w:pPr>
            <w:r w:rsidRPr="00C54E11">
              <w:rPr>
                <w:b/>
                <w:bCs/>
                <w:sz w:val="20"/>
                <w:szCs w:val="20"/>
                <w:lang w:eastAsia="en-GB"/>
              </w:rPr>
              <w:t>Year of birth</w:t>
            </w:r>
          </w:p>
        </w:tc>
        <w:tc>
          <w:tcPr>
            <w:tcW w:w="2620" w:type="dxa"/>
            <w:tcBorders>
              <w:top w:val="nil"/>
              <w:left w:val="nil"/>
              <w:bottom w:val="nil"/>
              <w:right w:val="nil"/>
            </w:tcBorders>
            <w:shd w:val="clear" w:color="auto" w:fill="auto"/>
            <w:noWrap/>
            <w:vAlign w:val="bottom"/>
            <w:hideMark/>
          </w:tcPr>
          <w:p w14:paraId="6DDF4884" w14:textId="77777777" w:rsidR="00A73BCE" w:rsidRPr="00C54E11" w:rsidRDefault="00A73BCE" w:rsidP="005F6321">
            <w:pPr>
              <w:spacing w:after="0" w:line="240" w:lineRule="auto"/>
              <w:rPr>
                <w:b/>
                <w:bCs/>
                <w:sz w:val="20"/>
                <w:szCs w:val="20"/>
                <w:lang w:eastAsia="en-GB"/>
              </w:rPr>
            </w:pPr>
            <w:r w:rsidRPr="00C54E11">
              <w:rPr>
                <w:b/>
                <w:bCs/>
                <w:sz w:val="20"/>
                <w:szCs w:val="20"/>
                <w:lang w:eastAsia="en-GB"/>
              </w:rPr>
              <w:t>Number (unweighted %) with a linked record</w:t>
            </w:r>
          </w:p>
        </w:tc>
      </w:tr>
      <w:tr w:rsidR="00A73BCE" w:rsidRPr="00AD23D9" w14:paraId="12557C3F" w14:textId="77777777" w:rsidTr="005F6321">
        <w:trPr>
          <w:trHeight w:val="300"/>
        </w:trPr>
        <w:tc>
          <w:tcPr>
            <w:tcW w:w="1320" w:type="dxa"/>
            <w:tcBorders>
              <w:top w:val="nil"/>
              <w:left w:val="nil"/>
              <w:bottom w:val="nil"/>
              <w:right w:val="nil"/>
            </w:tcBorders>
            <w:shd w:val="clear" w:color="auto" w:fill="auto"/>
            <w:noWrap/>
            <w:vAlign w:val="bottom"/>
            <w:hideMark/>
          </w:tcPr>
          <w:p w14:paraId="2326B9B3" w14:textId="77777777" w:rsidR="00A73BCE" w:rsidRPr="00C54E11" w:rsidRDefault="00A73BCE" w:rsidP="005F6321">
            <w:pPr>
              <w:spacing w:after="0" w:line="240" w:lineRule="auto"/>
              <w:rPr>
                <w:bCs/>
                <w:sz w:val="20"/>
                <w:szCs w:val="20"/>
                <w:lang w:eastAsia="en-GB"/>
              </w:rPr>
            </w:pPr>
            <w:r w:rsidRPr="00C54E11">
              <w:rPr>
                <w:bCs/>
                <w:sz w:val="20"/>
                <w:szCs w:val="20"/>
                <w:lang w:eastAsia="en-GB"/>
              </w:rPr>
              <w:t>1910-1919</w:t>
            </w:r>
          </w:p>
        </w:tc>
        <w:tc>
          <w:tcPr>
            <w:tcW w:w="2620" w:type="dxa"/>
            <w:tcBorders>
              <w:top w:val="nil"/>
              <w:left w:val="nil"/>
              <w:bottom w:val="nil"/>
              <w:right w:val="nil"/>
            </w:tcBorders>
            <w:shd w:val="clear" w:color="auto" w:fill="auto"/>
            <w:noWrap/>
            <w:vAlign w:val="bottom"/>
            <w:hideMark/>
          </w:tcPr>
          <w:p w14:paraId="1FAEDCB3" w14:textId="77777777" w:rsidR="00A73BCE" w:rsidRPr="00C54E11" w:rsidRDefault="00A73BCE" w:rsidP="005F6321">
            <w:pPr>
              <w:spacing w:after="0" w:line="240" w:lineRule="auto"/>
              <w:rPr>
                <w:bCs/>
                <w:sz w:val="20"/>
                <w:szCs w:val="20"/>
                <w:lang w:eastAsia="en-GB"/>
              </w:rPr>
            </w:pPr>
            <w:r w:rsidRPr="00C54E11">
              <w:rPr>
                <w:bCs/>
                <w:sz w:val="20"/>
                <w:szCs w:val="20"/>
                <w:lang w:eastAsia="en-GB"/>
              </w:rPr>
              <w:t>3 (100.0)</w:t>
            </w:r>
          </w:p>
        </w:tc>
      </w:tr>
      <w:tr w:rsidR="00A73BCE" w:rsidRPr="00AD23D9" w14:paraId="0C60FA8F" w14:textId="77777777" w:rsidTr="005F6321">
        <w:trPr>
          <w:trHeight w:val="300"/>
        </w:trPr>
        <w:tc>
          <w:tcPr>
            <w:tcW w:w="1320" w:type="dxa"/>
            <w:tcBorders>
              <w:top w:val="nil"/>
              <w:left w:val="nil"/>
              <w:bottom w:val="nil"/>
              <w:right w:val="nil"/>
            </w:tcBorders>
            <w:shd w:val="clear" w:color="auto" w:fill="auto"/>
            <w:noWrap/>
            <w:vAlign w:val="bottom"/>
            <w:hideMark/>
          </w:tcPr>
          <w:p w14:paraId="748C3FB8" w14:textId="77777777" w:rsidR="00A73BCE" w:rsidRPr="00C54E11" w:rsidRDefault="00A73BCE" w:rsidP="005F6321">
            <w:pPr>
              <w:spacing w:after="0" w:line="240" w:lineRule="auto"/>
              <w:rPr>
                <w:bCs/>
                <w:sz w:val="20"/>
                <w:szCs w:val="20"/>
                <w:lang w:eastAsia="en-GB"/>
              </w:rPr>
            </w:pPr>
            <w:r w:rsidRPr="00C54E11">
              <w:rPr>
                <w:bCs/>
                <w:sz w:val="20"/>
                <w:szCs w:val="20"/>
                <w:lang w:eastAsia="en-GB"/>
              </w:rPr>
              <w:t>1920-1929</w:t>
            </w:r>
          </w:p>
        </w:tc>
        <w:tc>
          <w:tcPr>
            <w:tcW w:w="2620" w:type="dxa"/>
            <w:tcBorders>
              <w:top w:val="nil"/>
              <w:left w:val="nil"/>
              <w:bottom w:val="nil"/>
              <w:right w:val="nil"/>
            </w:tcBorders>
            <w:shd w:val="clear" w:color="auto" w:fill="auto"/>
            <w:noWrap/>
            <w:vAlign w:val="bottom"/>
            <w:hideMark/>
          </w:tcPr>
          <w:p w14:paraId="437576F2" w14:textId="77777777" w:rsidR="00A73BCE" w:rsidRPr="00C54E11" w:rsidRDefault="00A73BCE" w:rsidP="005F6321">
            <w:pPr>
              <w:spacing w:after="0" w:line="240" w:lineRule="auto"/>
              <w:rPr>
                <w:bCs/>
                <w:sz w:val="20"/>
                <w:szCs w:val="20"/>
                <w:lang w:eastAsia="en-GB"/>
              </w:rPr>
            </w:pPr>
            <w:r w:rsidRPr="00C54E11">
              <w:rPr>
                <w:bCs/>
                <w:sz w:val="20"/>
                <w:szCs w:val="20"/>
                <w:lang w:eastAsia="en-GB"/>
              </w:rPr>
              <w:t>38 (97.4)</w:t>
            </w:r>
          </w:p>
        </w:tc>
      </w:tr>
      <w:tr w:rsidR="00A73BCE" w:rsidRPr="00AD23D9" w14:paraId="300EEB34" w14:textId="77777777" w:rsidTr="005F6321">
        <w:trPr>
          <w:trHeight w:val="300"/>
        </w:trPr>
        <w:tc>
          <w:tcPr>
            <w:tcW w:w="1320" w:type="dxa"/>
            <w:tcBorders>
              <w:top w:val="nil"/>
              <w:left w:val="nil"/>
              <w:bottom w:val="nil"/>
              <w:right w:val="nil"/>
            </w:tcBorders>
            <w:shd w:val="clear" w:color="auto" w:fill="auto"/>
            <w:noWrap/>
            <w:vAlign w:val="bottom"/>
            <w:hideMark/>
          </w:tcPr>
          <w:p w14:paraId="7F78EEDA" w14:textId="77777777" w:rsidR="00A73BCE" w:rsidRPr="00C54E11" w:rsidRDefault="00A73BCE" w:rsidP="005F6321">
            <w:pPr>
              <w:spacing w:after="0" w:line="240" w:lineRule="auto"/>
              <w:rPr>
                <w:bCs/>
                <w:sz w:val="20"/>
                <w:szCs w:val="20"/>
                <w:lang w:eastAsia="en-GB"/>
              </w:rPr>
            </w:pPr>
            <w:r w:rsidRPr="00C54E11">
              <w:rPr>
                <w:bCs/>
                <w:sz w:val="20"/>
                <w:szCs w:val="20"/>
                <w:lang w:eastAsia="en-GB"/>
              </w:rPr>
              <w:t>1930-1939</w:t>
            </w:r>
          </w:p>
        </w:tc>
        <w:tc>
          <w:tcPr>
            <w:tcW w:w="2620" w:type="dxa"/>
            <w:tcBorders>
              <w:top w:val="nil"/>
              <w:left w:val="nil"/>
              <w:bottom w:val="nil"/>
              <w:right w:val="nil"/>
            </w:tcBorders>
            <w:shd w:val="clear" w:color="auto" w:fill="auto"/>
            <w:noWrap/>
            <w:vAlign w:val="bottom"/>
            <w:hideMark/>
          </w:tcPr>
          <w:p w14:paraId="5D701628" w14:textId="77777777" w:rsidR="00A73BCE" w:rsidRPr="00C54E11" w:rsidRDefault="00A73BCE" w:rsidP="005F6321">
            <w:pPr>
              <w:spacing w:after="0" w:line="240" w:lineRule="auto"/>
              <w:rPr>
                <w:bCs/>
                <w:sz w:val="20"/>
                <w:szCs w:val="20"/>
                <w:lang w:eastAsia="en-GB"/>
              </w:rPr>
            </w:pPr>
            <w:r w:rsidRPr="00C54E11">
              <w:rPr>
                <w:bCs/>
                <w:sz w:val="20"/>
                <w:szCs w:val="20"/>
                <w:lang w:eastAsia="en-GB"/>
              </w:rPr>
              <w:t>218 (97.7)</w:t>
            </w:r>
          </w:p>
        </w:tc>
      </w:tr>
      <w:tr w:rsidR="00A73BCE" w:rsidRPr="00AD23D9" w14:paraId="171DBBD4" w14:textId="77777777" w:rsidTr="005F6321">
        <w:trPr>
          <w:trHeight w:val="300"/>
        </w:trPr>
        <w:tc>
          <w:tcPr>
            <w:tcW w:w="1320" w:type="dxa"/>
            <w:tcBorders>
              <w:top w:val="nil"/>
              <w:left w:val="nil"/>
              <w:bottom w:val="nil"/>
              <w:right w:val="nil"/>
            </w:tcBorders>
            <w:shd w:val="clear" w:color="auto" w:fill="auto"/>
            <w:noWrap/>
            <w:vAlign w:val="bottom"/>
            <w:hideMark/>
          </w:tcPr>
          <w:p w14:paraId="4761E83B" w14:textId="77777777" w:rsidR="00A73BCE" w:rsidRPr="00C54E11" w:rsidRDefault="00A73BCE" w:rsidP="005F6321">
            <w:pPr>
              <w:spacing w:after="0" w:line="240" w:lineRule="auto"/>
              <w:rPr>
                <w:bCs/>
                <w:sz w:val="20"/>
                <w:szCs w:val="20"/>
                <w:lang w:eastAsia="en-GB"/>
              </w:rPr>
            </w:pPr>
            <w:r w:rsidRPr="00C54E11">
              <w:rPr>
                <w:bCs/>
                <w:sz w:val="20"/>
                <w:szCs w:val="20"/>
                <w:lang w:eastAsia="en-GB"/>
              </w:rPr>
              <w:t>1940-1949</w:t>
            </w:r>
          </w:p>
        </w:tc>
        <w:tc>
          <w:tcPr>
            <w:tcW w:w="2620" w:type="dxa"/>
            <w:tcBorders>
              <w:top w:val="nil"/>
              <w:left w:val="nil"/>
              <w:bottom w:val="nil"/>
              <w:right w:val="nil"/>
            </w:tcBorders>
            <w:shd w:val="clear" w:color="auto" w:fill="auto"/>
            <w:noWrap/>
            <w:vAlign w:val="bottom"/>
            <w:hideMark/>
          </w:tcPr>
          <w:p w14:paraId="1216FE12" w14:textId="77777777" w:rsidR="00A73BCE" w:rsidRPr="00C54E11" w:rsidRDefault="00A73BCE" w:rsidP="005F6321">
            <w:pPr>
              <w:spacing w:after="0" w:line="240" w:lineRule="auto"/>
              <w:rPr>
                <w:bCs/>
                <w:sz w:val="20"/>
                <w:szCs w:val="20"/>
                <w:lang w:eastAsia="en-GB"/>
              </w:rPr>
            </w:pPr>
            <w:r w:rsidRPr="00C54E11">
              <w:rPr>
                <w:bCs/>
                <w:sz w:val="20"/>
                <w:szCs w:val="20"/>
                <w:lang w:eastAsia="en-GB"/>
              </w:rPr>
              <w:t>413 (96.4)</w:t>
            </w:r>
          </w:p>
        </w:tc>
      </w:tr>
      <w:tr w:rsidR="00A73BCE" w:rsidRPr="00AD23D9" w14:paraId="2756D277" w14:textId="77777777" w:rsidTr="005F6321">
        <w:trPr>
          <w:trHeight w:val="300"/>
        </w:trPr>
        <w:tc>
          <w:tcPr>
            <w:tcW w:w="1320" w:type="dxa"/>
            <w:tcBorders>
              <w:top w:val="nil"/>
              <w:left w:val="nil"/>
              <w:bottom w:val="nil"/>
              <w:right w:val="nil"/>
            </w:tcBorders>
            <w:shd w:val="clear" w:color="auto" w:fill="auto"/>
            <w:noWrap/>
            <w:vAlign w:val="bottom"/>
            <w:hideMark/>
          </w:tcPr>
          <w:p w14:paraId="6ABB6BD6" w14:textId="77777777" w:rsidR="00A73BCE" w:rsidRPr="00C54E11" w:rsidRDefault="00A73BCE" w:rsidP="005F6321">
            <w:pPr>
              <w:spacing w:after="0" w:line="240" w:lineRule="auto"/>
              <w:rPr>
                <w:bCs/>
                <w:sz w:val="20"/>
                <w:szCs w:val="20"/>
                <w:lang w:eastAsia="en-GB"/>
              </w:rPr>
            </w:pPr>
            <w:r w:rsidRPr="00C54E11">
              <w:rPr>
                <w:bCs/>
                <w:sz w:val="20"/>
                <w:szCs w:val="20"/>
                <w:lang w:eastAsia="en-GB"/>
              </w:rPr>
              <w:t>1950-1959</w:t>
            </w:r>
          </w:p>
        </w:tc>
        <w:tc>
          <w:tcPr>
            <w:tcW w:w="2620" w:type="dxa"/>
            <w:tcBorders>
              <w:top w:val="nil"/>
              <w:left w:val="nil"/>
              <w:bottom w:val="nil"/>
              <w:right w:val="nil"/>
            </w:tcBorders>
            <w:shd w:val="clear" w:color="auto" w:fill="auto"/>
            <w:noWrap/>
            <w:vAlign w:val="bottom"/>
            <w:hideMark/>
          </w:tcPr>
          <w:p w14:paraId="3324D6F2" w14:textId="77777777" w:rsidR="00A73BCE" w:rsidRPr="00C54E11" w:rsidRDefault="00A73BCE" w:rsidP="005F6321">
            <w:pPr>
              <w:spacing w:after="0" w:line="240" w:lineRule="auto"/>
              <w:rPr>
                <w:bCs/>
                <w:sz w:val="20"/>
                <w:szCs w:val="20"/>
                <w:lang w:eastAsia="en-GB"/>
              </w:rPr>
            </w:pPr>
            <w:r w:rsidRPr="00C54E11">
              <w:rPr>
                <w:bCs/>
                <w:sz w:val="20"/>
                <w:szCs w:val="20"/>
                <w:lang w:eastAsia="en-GB"/>
              </w:rPr>
              <w:t>567 (89.1)</w:t>
            </w:r>
          </w:p>
        </w:tc>
      </w:tr>
      <w:tr w:rsidR="00A73BCE" w:rsidRPr="00AD23D9" w14:paraId="09AA753B" w14:textId="77777777" w:rsidTr="005F6321">
        <w:trPr>
          <w:trHeight w:val="300"/>
        </w:trPr>
        <w:tc>
          <w:tcPr>
            <w:tcW w:w="1320" w:type="dxa"/>
            <w:tcBorders>
              <w:top w:val="nil"/>
              <w:left w:val="nil"/>
              <w:bottom w:val="nil"/>
              <w:right w:val="nil"/>
            </w:tcBorders>
            <w:shd w:val="clear" w:color="auto" w:fill="auto"/>
            <w:noWrap/>
            <w:vAlign w:val="bottom"/>
            <w:hideMark/>
          </w:tcPr>
          <w:p w14:paraId="48D4DCD2" w14:textId="77777777" w:rsidR="00A73BCE" w:rsidRPr="00C54E11" w:rsidRDefault="00A73BCE" w:rsidP="005F6321">
            <w:pPr>
              <w:spacing w:after="0" w:line="240" w:lineRule="auto"/>
              <w:rPr>
                <w:bCs/>
                <w:sz w:val="20"/>
                <w:szCs w:val="20"/>
                <w:lang w:eastAsia="en-GB"/>
              </w:rPr>
            </w:pPr>
            <w:r w:rsidRPr="00C54E11">
              <w:rPr>
                <w:bCs/>
                <w:sz w:val="20"/>
                <w:szCs w:val="20"/>
                <w:lang w:eastAsia="en-GB"/>
              </w:rPr>
              <w:t>1960-1969</w:t>
            </w:r>
          </w:p>
        </w:tc>
        <w:tc>
          <w:tcPr>
            <w:tcW w:w="2620" w:type="dxa"/>
            <w:tcBorders>
              <w:top w:val="nil"/>
              <w:left w:val="nil"/>
              <w:bottom w:val="nil"/>
              <w:right w:val="nil"/>
            </w:tcBorders>
            <w:shd w:val="clear" w:color="auto" w:fill="auto"/>
            <w:noWrap/>
            <w:vAlign w:val="bottom"/>
            <w:hideMark/>
          </w:tcPr>
          <w:p w14:paraId="292849F8" w14:textId="77777777" w:rsidR="00A73BCE" w:rsidRPr="00C54E11" w:rsidRDefault="00A73BCE" w:rsidP="005F6321">
            <w:pPr>
              <w:spacing w:after="0" w:line="240" w:lineRule="auto"/>
              <w:rPr>
                <w:bCs/>
                <w:sz w:val="20"/>
                <w:szCs w:val="20"/>
                <w:lang w:eastAsia="en-GB"/>
              </w:rPr>
            </w:pPr>
            <w:r w:rsidRPr="00C54E11">
              <w:rPr>
                <w:bCs/>
                <w:sz w:val="20"/>
                <w:szCs w:val="20"/>
                <w:lang w:eastAsia="en-GB"/>
              </w:rPr>
              <w:t>646 (88.7)</w:t>
            </w:r>
          </w:p>
        </w:tc>
      </w:tr>
      <w:tr w:rsidR="00A73BCE" w:rsidRPr="00AD23D9" w14:paraId="6F133B16" w14:textId="77777777" w:rsidTr="005F6321">
        <w:trPr>
          <w:trHeight w:val="300"/>
        </w:trPr>
        <w:tc>
          <w:tcPr>
            <w:tcW w:w="1320" w:type="dxa"/>
            <w:tcBorders>
              <w:top w:val="nil"/>
              <w:left w:val="nil"/>
              <w:bottom w:val="nil"/>
              <w:right w:val="nil"/>
            </w:tcBorders>
            <w:shd w:val="clear" w:color="auto" w:fill="auto"/>
            <w:noWrap/>
            <w:vAlign w:val="bottom"/>
            <w:hideMark/>
          </w:tcPr>
          <w:p w14:paraId="6B600C82" w14:textId="77777777" w:rsidR="00A73BCE" w:rsidRPr="00C54E11" w:rsidRDefault="00A73BCE" w:rsidP="005F6321">
            <w:pPr>
              <w:spacing w:after="0" w:line="240" w:lineRule="auto"/>
              <w:rPr>
                <w:bCs/>
                <w:sz w:val="20"/>
                <w:szCs w:val="20"/>
                <w:lang w:eastAsia="en-GB"/>
              </w:rPr>
            </w:pPr>
            <w:r w:rsidRPr="00C54E11">
              <w:rPr>
                <w:bCs/>
                <w:sz w:val="20"/>
                <w:szCs w:val="20"/>
                <w:lang w:eastAsia="en-GB"/>
              </w:rPr>
              <w:t>1970-1979</w:t>
            </w:r>
          </w:p>
        </w:tc>
        <w:tc>
          <w:tcPr>
            <w:tcW w:w="2620" w:type="dxa"/>
            <w:tcBorders>
              <w:top w:val="nil"/>
              <w:left w:val="nil"/>
              <w:bottom w:val="nil"/>
              <w:right w:val="nil"/>
            </w:tcBorders>
            <w:shd w:val="clear" w:color="auto" w:fill="auto"/>
            <w:noWrap/>
            <w:vAlign w:val="bottom"/>
            <w:hideMark/>
          </w:tcPr>
          <w:p w14:paraId="5ECCBA48" w14:textId="77777777" w:rsidR="00A73BCE" w:rsidRPr="00C54E11" w:rsidRDefault="00A73BCE" w:rsidP="005F6321">
            <w:pPr>
              <w:spacing w:after="0" w:line="240" w:lineRule="auto"/>
              <w:rPr>
                <w:bCs/>
                <w:sz w:val="20"/>
                <w:szCs w:val="20"/>
                <w:lang w:eastAsia="en-GB"/>
              </w:rPr>
            </w:pPr>
            <w:r w:rsidRPr="00C54E11">
              <w:rPr>
                <w:bCs/>
                <w:sz w:val="20"/>
                <w:szCs w:val="20"/>
                <w:lang w:eastAsia="en-GB"/>
              </w:rPr>
              <w:t>664 (87.7)</w:t>
            </w:r>
          </w:p>
        </w:tc>
      </w:tr>
      <w:tr w:rsidR="00A73BCE" w:rsidRPr="00AD23D9" w14:paraId="59348F1C" w14:textId="77777777" w:rsidTr="005F6321">
        <w:trPr>
          <w:trHeight w:val="300"/>
        </w:trPr>
        <w:tc>
          <w:tcPr>
            <w:tcW w:w="1320" w:type="dxa"/>
            <w:tcBorders>
              <w:top w:val="nil"/>
              <w:left w:val="nil"/>
              <w:bottom w:val="nil"/>
              <w:right w:val="nil"/>
            </w:tcBorders>
            <w:shd w:val="clear" w:color="auto" w:fill="auto"/>
            <w:noWrap/>
            <w:vAlign w:val="bottom"/>
            <w:hideMark/>
          </w:tcPr>
          <w:p w14:paraId="4FCEC084" w14:textId="77777777" w:rsidR="00A73BCE" w:rsidRPr="00C54E11" w:rsidRDefault="00A73BCE" w:rsidP="005F6321">
            <w:pPr>
              <w:spacing w:after="0" w:line="240" w:lineRule="auto"/>
              <w:rPr>
                <w:bCs/>
                <w:sz w:val="20"/>
                <w:szCs w:val="20"/>
                <w:lang w:eastAsia="en-GB"/>
              </w:rPr>
            </w:pPr>
            <w:r w:rsidRPr="00C54E11">
              <w:rPr>
                <w:bCs/>
                <w:sz w:val="20"/>
                <w:szCs w:val="20"/>
                <w:lang w:eastAsia="en-GB"/>
              </w:rPr>
              <w:t>1980-1989</w:t>
            </w:r>
          </w:p>
        </w:tc>
        <w:tc>
          <w:tcPr>
            <w:tcW w:w="2620" w:type="dxa"/>
            <w:tcBorders>
              <w:top w:val="nil"/>
              <w:left w:val="nil"/>
              <w:bottom w:val="nil"/>
              <w:right w:val="nil"/>
            </w:tcBorders>
            <w:shd w:val="clear" w:color="auto" w:fill="auto"/>
            <w:noWrap/>
            <w:vAlign w:val="bottom"/>
            <w:hideMark/>
          </w:tcPr>
          <w:p w14:paraId="49BC55CE" w14:textId="77777777" w:rsidR="00A73BCE" w:rsidRPr="00C54E11" w:rsidRDefault="00A73BCE" w:rsidP="005F6321">
            <w:pPr>
              <w:spacing w:after="0" w:line="240" w:lineRule="auto"/>
              <w:rPr>
                <w:bCs/>
                <w:sz w:val="20"/>
                <w:szCs w:val="20"/>
                <w:lang w:eastAsia="en-GB"/>
              </w:rPr>
            </w:pPr>
            <w:r w:rsidRPr="00C54E11">
              <w:rPr>
                <w:bCs/>
                <w:sz w:val="20"/>
                <w:szCs w:val="20"/>
                <w:lang w:eastAsia="en-GB"/>
              </w:rPr>
              <w:t>557 (83.5)</w:t>
            </w:r>
          </w:p>
        </w:tc>
      </w:tr>
      <w:tr w:rsidR="00A73BCE" w:rsidRPr="00AD23D9" w14:paraId="20D23764" w14:textId="77777777" w:rsidTr="005F6321">
        <w:trPr>
          <w:trHeight w:val="300"/>
        </w:trPr>
        <w:tc>
          <w:tcPr>
            <w:tcW w:w="1320" w:type="dxa"/>
            <w:tcBorders>
              <w:top w:val="nil"/>
              <w:left w:val="nil"/>
              <w:bottom w:val="nil"/>
              <w:right w:val="nil"/>
            </w:tcBorders>
            <w:shd w:val="clear" w:color="auto" w:fill="auto"/>
            <w:noWrap/>
            <w:vAlign w:val="bottom"/>
            <w:hideMark/>
          </w:tcPr>
          <w:p w14:paraId="506305C1" w14:textId="77777777" w:rsidR="00A73BCE" w:rsidRPr="00C54E11" w:rsidRDefault="00A73BCE" w:rsidP="005F6321">
            <w:pPr>
              <w:spacing w:after="0" w:line="240" w:lineRule="auto"/>
              <w:rPr>
                <w:bCs/>
                <w:sz w:val="20"/>
                <w:szCs w:val="20"/>
                <w:lang w:eastAsia="en-GB"/>
              </w:rPr>
            </w:pPr>
            <w:r w:rsidRPr="00C54E11">
              <w:rPr>
                <w:bCs/>
                <w:sz w:val="20"/>
                <w:szCs w:val="20"/>
                <w:lang w:eastAsia="en-GB"/>
              </w:rPr>
              <w:t>1990-1999</w:t>
            </w:r>
          </w:p>
        </w:tc>
        <w:tc>
          <w:tcPr>
            <w:tcW w:w="2620" w:type="dxa"/>
            <w:tcBorders>
              <w:top w:val="nil"/>
              <w:left w:val="nil"/>
              <w:bottom w:val="nil"/>
              <w:right w:val="nil"/>
            </w:tcBorders>
            <w:shd w:val="clear" w:color="auto" w:fill="auto"/>
            <w:noWrap/>
            <w:vAlign w:val="bottom"/>
            <w:hideMark/>
          </w:tcPr>
          <w:p w14:paraId="01E09C20" w14:textId="77777777" w:rsidR="00A73BCE" w:rsidRPr="00C54E11" w:rsidRDefault="00A73BCE" w:rsidP="005F6321">
            <w:pPr>
              <w:spacing w:after="0" w:line="240" w:lineRule="auto"/>
              <w:rPr>
                <w:bCs/>
                <w:sz w:val="20"/>
                <w:szCs w:val="20"/>
                <w:lang w:eastAsia="en-GB"/>
              </w:rPr>
            </w:pPr>
            <w:r w:rsidRPr="00C54E11">
              <w:rPr>
                <w:bCs/>
                <w:sz w:val="20"/>
                <w:szCs w:val="20"/>
                <w:lang w:eastAsia="en-GB"/>
              </w:rPr>
              <w:t>529 (75.2)</w:t>
            </w:r>
          </w:p>
        </w:tc>
      </w:tr>
      <w:tr w:rsidR="00A73BCE" w:rsidRPr="00AD23D9" w14:paraId="0AB83CAA" w14:textId="77777777" w:rsidTr="005F6321">
        <w:trPr>
          <w:trHeight w:val="300"/>
        </w:trPr>
        <w:tc>
          <w:tcPr>
            <w:tcW w:w="1320" w:type="dxa"/>
            <w:tcBorders>
              <w:top w:val="nil"/>
              <w:left w:val="nil"/>
              <w:bottom w:val="nil"/>
              <w:right w:val="nil"/>
            </w:tcBorders>
            <w:shd w:val="clear" w:color="auto" w:fill="auto"/>
            <w:noWrap/>
            <w:vAlign w:val="bottom"/>
            <w:hideMark/>
          </w:tcPr>
          <w:p w14:paraId="3BA3C0E9" w14:textId="77777777" w:rsidR="00A73BCE" w:rsidRPr="00C54E11" w:rsidRDefault="00A73BCE" w:rsidP="005F6321">
            <w:pPr>
              <w:spacing w:after="0" w:line="240" w:lineRule="auto"/>
              <w:rPr>
                <w:bCs/>
                <w:sz w:val="20"/>
                <w:szCs w:val="20"/>
                <w:lang w:eastAsia="en-GB"/>
              </w:rPr>
            </w:pPr>
            <w:r w:rsidRPr="00C54E11">
              <w:rPr>
                <w:bCs/>
                <w:sz w:val="20"/>
                <w:szCs w:val="20"/>
                <w:lang w:eastAsia="en-GB"/>
              </w:rPr>
              <w:t>2000-2009</w:t>
            </w:r>
          </w:p>
        </w:tc>
        <w:tc>
          <w:tcPr>
            <w:tcW w:w="2620" w:type="dxa"/>
            <w:tcBorders>
              <w:top w:val="nil"/>
              <w:left w:val="nil"/>
              <w:bottom w:val="nil"/>
              <w:right w:val="nil"/>
            </w:tcBorders>
            <w:shd w:val="clear" w:color="auto" w:fill="auto"/>
            <w:noWrap/>
            <w:vAlign w:val="bottom"/>
            <w:hideMark/>
          </w:tcPr>
          <w:p w14:paraId="142C835D" w14:textId="77777777" w:rsidR="00A73BCE" w:rsidRPr="00C54E11" w:rsidRDefault="00A73BCE" w:rsidP="005F6321">
            <w:pPr>
              <w:spacing w:after="0" w:line="240" w:lineRule="auto"/>
              <w:rPr>
                <w:bCs/>
                <w:sz w:val="20"/>
                <w:szCs w:val="20"/>
                <w:lang w:eastAsia="en-GB"/>
              </w:rPr>
            </w:pPr>
            <w:r w:rsidRPr="00C54E11">
              <w:rPr>
                <w:bCs/>
                <w:sz w:val="20"/>
                <w:szCs w:val="20"/>
                <w:lang w:eastAsia="en-GB"/>
              </w:rPr>
              <w:t>277 (63.9)</w:t>
            </w:r>
          </w:p>
        </w:tc>
      </w:tr>
      <w:tr w:rsidR="00A73BCE" w:rsidRPr="00AD23D9" w14:paraId="0C0DBD67" w14:textId="77777777" w:rsidTr="005F6321">
        <w:trPr>
          <w:trHeight w:val="300"/>
        </w:trPr>
        <w:tc>
          <w:tcPr>
            <w:tcW w:w="1320" w:type="dxa"/>
            <w:tcBorders>
              <w:top w:val="nil"/>
              <w:left w:val="nil"/>
              <w:bottom w:val="nil"/>
              <w:right w:val="nil"/>
            </w:tcBorders>
            <w:shd w:val="clear" w:color="auto" w:fill="auto"/>
            <w:noWrap/>
            <w:vAlign w:val="bottom"/>
            <w:hideMark/>
          </w:tcPr>
          <w:p w14:paraId="58FBE9DF" w14:textId="77777777" w:rsidR="00A73BCE" w:rsidRPr="00C54E11" w:rsidRDefault="00A73BCE" w:rsidP="005F6321">
            <w:pPr>
              <w:spacing w:after="0" w:line="240" w:lineRule="auto"/>
              <w:rPr>
                <w:bCs/>
                <w:sz w:val="20"/>
                <w:szCs w:val="20"/>
                <w:lang w:eastAsia="en-GB"/>
              </w:rPr>
            </w:pPr>
            <w:r w:rsidRPr="00C54E11">
              <w:rPr>
                <w:bCs/>
                <w:sz w:val="20"/>
                <w:szCs w:val="20"/>
                <w:lang w:eastAsia="en-GB"/>
              </w:rPr>
              <w:t>2010-</w:t>
            </w:r>
          </w:p>
        </w:tc>
        <w:tc>
          <w:tcPr>
            <w:tcW w:w="2620" w:type="dxa"/>
            <w:tcBorders>
              <w:top w:val="nil"/>
              <w:left w:val="nil"/>
              <w:bottom w:val="nil"/>
              <w:right w:val="nil"/>
            </w:tcBorders>
            <w:shd w:val="clear" w:color="auto" w:fill="auto"/>
            <w:noWrap/>
            <w:vAlign w:val="bottom"/>
            <w:hideMark/>
          </w:tcPr>
          <w:p w14:paraId="5347FEFB" w14:textId="77777777" w:rsidR="00A73BCE" w:rsidRPr="00C54E11" w:rsidRDefault="00A73BCE" w:rsidP="005F6321">
            <w:pPr>
              <w:spacing w:after="0" w:line="240" w:lineRule="auto"/>
              <w:rPr>
                <w:bCs/>
                <w:sz w:val="20"/>
                <w:szCs w:val="20"/>
                <w:lang w:eastAsia="en-GB"/>
              </w:rPr>
            </w:pPr>
            <w:r w:rsidRPr="00C54E11">
              <w:rPr>
                <w:bCs/>
                <w:sz w:val="20"/>
                <w:szCs w:val="20"/>
                <w:lang w:eastAsia="en-GB"/>
              </w:rPr>
              <w:t>395 (50.4)</w:t>
            </w:r>
          </w:p>
        </w:tc>
      </w:tr>
    </w:tbl>
    <w:p w14:paraId="0627C035" w14:textId="77777777" w:rsidR="00A73BCE" w:rsidRPr="00002020" w:rsidRDefault="00A73BCE" w:rsidP="00A73BCE">
      <w:pPr>
        <w:spacing w:line="240" w:lineRule="auto"/>
      </w:pPr>
      <w:r w:rsidRPr="00002020">
        <w:lastRenderedPageBreak/>
        <w:t>The differences between the two data sets reflect the differences in how the measures were captured</w:t>
      </w:r>
      <w:r>
        <w:t>, reflected in differences in prevalence shown in Table 2 and differences in PPV in Figure 1</w:t>
      </w:r>
      <w:r w:rsidRPr="00002020">
        <w:t>.</w:t>
      </w:r>
      <w:r>
        <w:t xml:space="preserve">  </w:t>
      </w:r>
      <w:proofErr w:type="spellStart"/>
      <w:r>
        <w:t>USoc</w:t>
      </w:r>
      <w:proofErr w:type="spellEnd"/>
      <w:r>
        <w:t xml:space="preserve"> data provide a self-reported measure of long-term health conditions, whereas secondary care diagnoses are only recorded for people who have had an inpatient stay in hospital.  For example, cancer is more likely to be recorded in hospital records than these survey data reflected in the higher hospital compared with </w:t>
      </w:r>
      <w:proofErr w:type="spellStart"/>
      <w:r>
        <w:t>USoc</w:t>
      </w:r>
      <w:proofErr w:type="spellEnd"/>
      <w:r>
        <w:t xml:space="preserve"> PPV and prevalence, while asthma, which is frequently managed in primary care and not associated with a hospital admission, has higher prevalence and PPV in </w:t>
      </w:r>
      <w:proofErr w:type="spellStart"/>
      <w:r>
        <w:t>USoc</w:t>
      </w:r>
      <w:proofErr w:type="spellEnd"/>
      <w:r>
        <w:t xml:space="preserve"> compared with hospital admission data.</w:t>
      </w:r>
    </w:p>
    <w:p w14:paraId="3E05760A" w14:textId="77777777" w:rsidR="00A73BCE" w:rsidRDefault="00A73BCE" w:rsidP="00A73BCE">
      <w:pPr>
        <w:rPr>
          <w:rFonts w:ascii="Arial" w:hAnsi="Arial"/>
        </w:rPr>
      </w:pPr>
    </w:p>
    <w:p w14:paraId="728E2DBA" w14:textId="77777777" w:rsidR="00A73BCE" w:rsidRPr="00FB4F0E" w:rsidRDefault="00A73BCE" w:rsidP="00A73BCE">
      <w:pPr>
        <w:spacing w:line="240" w:lineRule="auto"/>
        <w:rPr>
          <w:b/>
        </w:rPr>
      </w:pPr>
      <w:r>
        <w:rPr>
          <w:b/>
        </w:rPr>
        <w:t xml:space="preserve">Supplementary Material 2, </w:t>
      </w:r>
      <w:r w:rsidRPr="00FB4F0E">
        <w:rPr>
          <w:b/>
        </w:rPr>
        <w:t xml:space="preserve">Table </w:t>
      </w:r>
      <w:r>
        <w:rPr>
          <w:b/>
        </w:rPr>
        <w:t>2</w:t>
      </w:r>
      <w:r w:rsidRPr="00FB4F0E">
        <w:rPr>
          <w:b/>
        </w:rPr>
        <w:t>. Long</w:t>
      </w:r>
      <w:r>
        <w:rPr>
          <w:b/>
        </w:rPr>
        <w:t>-</w:t>
      </w:r>
      <w:r w:rsidRPr="00FB4F0E">
        <w:rPr>
          <w:b/>
        </w:rPr>
        <w:t xml:space="preserve">term condition prevalence in </w:t>
      </w:r>
      <w:proofErr w:type="spellStart"/>
      <w:r w:rsidRPr="00FB4F0E">
        <w:rPr>
          <w:b/>
        </w:rPr>
        <w:t>USoc</w:t>
      </w:r>
      <w:proofErr w:type="spellEnd"/>
      <w:r w:rsidRPr="00FB4F0E">
        <w:rPr>
          <w:b/>
        </w:rPr>
        <w:t xml:space="preserve"> and Secondary care records</w:t>
      </w:r>
    </w:p>
    <w:tbl>
      <w:tblPr>
        <w:tblStyle w:val="TableGridLight"/>
        <w:tblW w:w="5328" w:type="pct"/>
        <w:tblLook w:val="04A0" w:firstRow="1" w:lastRow="0" w:firstColumn="1" w:lastColumn="0" w:noHBand="0" w:noVBand="1"/>
      </w:tblPr>
      <w:tblGrid>
        <w:gridCol w:w="3602"/>
        <w:gridCol w:w="1430"/>
        <w:gridCol w:w="2037"/>
        <w:gridCol w:w="1149"/>
        <w:gridCol w:w="1389"/>
      </w:tblGrid>
      <w:tr w:rsidR="00A73BCE" w:rsidRPr="009E1DDE" w14:paraId="261C2EFC" w14:textId="77777777" w:rsidTr="005F6321">
        <w:trPr>
          <w:trHeight w:val="300"/>
        </w:trPr>
        <w:tc>
          <w:tcPr>
            <w:tcW w:w="1875" w:type="pct"/>
            <w:noWrap/>
            <w:hideMark/>
          </w:tcPr>
          <w:p w14:paraId="537D3F71" w14:textId="77777777" w:rsidR="00A73BCE" w:rsidRPr="008E1DC5" w:rsidRDefault="00A73BCE" w:rsidP="005F6321">
            <w:pPr>
              <w:spacing w:after="0" w:line="240" w:lineRule="auto"/>
              <w:rPr>
                <w:b/>
                <w:bCs/>
              </w:rPr>
            </w:pPr>
            <w:r w:rsidRPr="008E1DC5">
              <w:rPr>
                <w:b/>
                <w:bCs/>
              </w:rPr>
              <w:t>Long-term condition</w:t>
            </w:r>
          </w:p>
        </w:tc>
        <w:tc>
          <w:tcPr>
            <w:tcW w:w="744" w:type="pct"/>
            <w:noWrap/>
            <w:hideMark/>
          </w:tcPr>
          <w:p w14:paraId="06F7AA18" w14:textId="77777777" w:rsidR="00A73BCE" w:rsidRPr="008E1DC5" w:rsidRDefault="00A73BCE" w:rsidP="005F6321">
            <w:pPr>
              <w:spacing w:after="0" w:line="240" w:lineRule="auto"/>
              <w:rPr>
                <w:b/>
                <w:bCs/>
              </w:rPr>
            </w:pPr>
            <w:r w:rsidRPr="008E1DC5">
              <w:rPr>
                <w:b/>
                <w:bCs/>
              </w:rPr>
              <w:t>ICD9</w:t>
            </w:r>
          </w:p>
        </w:tc>
        <w:tc>
          <w:tcPr>
            <w:tcW w:w="1060" w:type="pct"/>
            <w:noWrap/>
            <w:hideMark/>
          </w:tcPr>
          <w:p w14:paraId="66451E9A" w14:textId="77777777" w:rsidR="00A73BCE" w:rsidRPr="008E1DC5" w:rsidRDefault="00A73BCE" w:rsidP="005F6321">
            <w:pPr>
              <w:spacing w:after="0" w:line="240" w:lineRule="auto"/>
              <w:rPr>
                <w:b/>
                <w:bCs/>
              </w:rPr>
            </w:pPr>
            <w:r w:rsidRPr="008E1DC5">
              <w:rPr>
                <w:b/>
                <w:bCs/>
              </w:rPr>
              <w:t>ICD10</w:t>
            </w:r>
          </w:p>
        </w:tc>
        <w:tc>
          <w:tcPr>
            <w:tcW w:w="598" w:type="pct"/>
          </w:tcPr>
          <w:p w14:paraId="04B3E984" w14:textId="77777777" w:rsidR="00A73BCE" w:rsidRPr="008E1DC5" w:rsidRDefault="00A73BCE" w:rsidP="005F6321">
            <w:pPr>
              <w:spacing w:after="0" w:line="240" w:lineRule="auto"/>
              <w:rPr>
                <w:b/>
                <w:bCs/>
              </w:rPr>
            </w:pPr>
            <w:r w:rsidRPr="008E1DC5">
              <w:rPr>
                <w:b/>
                <w:bCs/>
              </w:rPr>
              <w:t>Scotland (ever)</w:t>
            </w:r>
          </w:p>
        </w:tc>
        <w:tc>
          <w:tcPr>
            <w:tcW w:w="723" w:type="pct"/>
          </w:tcPr>
          <w:p w14:paraId="05123231" w14:textId="77777777" w:rsidR="00A73BCE" w:rsidRPr="008E1DC5" w:rsidRDefault="00A73BCE" w:rsidP="005F6321">
            <w:pPr>
              <w:spacing w:after="0" w:line="240" w:lineRule="auto"/>
              <w:rPr>
                <w:b/>
                <w:bCs/>
              </w:rPr>
            </w:pPr>
            <w:r w:rsidRPr="008E1DC5">
              <w:rPr>
                <w:b/>
                <w:bCs/>
              </w:rPr>
              <w:t>IP admission (ever)</w:t>
            </w:r>
          </w:p>
        </w:tc>
      </w:tr>
      <w:tr w:rsidR="00A73BCE" w:rsidRPr="009E1DDE" w14:paraId="2EF1DF35" w14:textId="77777777" w:rsidTr="005F6321">
        <w:trPr>
          <w:trHeight w:val="300"/>
        </w:trPr>
        <w:tc>
          <w:tcPr>
            <w:tcW w:w="1875" w:type="pct"/>
            <w:noWrap/>
            <w:hideMark/>
          </w:tcPr>
          <w:p w14:paraId="22434155" w14:textId="77777777" w:rsidR="00A73BCE" w:rsidRPr="008E1DC5" w:rsidRDefault="00A73BCE" w:rsidP="005F6321">
            <w:pPr>
              <w:spacing w:after="0" w:line="240" w:lineRule="auto"/>
              <w:rPr>
                <w:bCs/>
              </w:rPr>
            </w:pPr>
            <w:r w:rsidRPr="008E1DC5">
              <w:rPr>
                <w:bCs/>
              </w:rPr>
              <w:t>Asthma</w:t>
            </w:r>
          </w:p>
        </w:tc>
        <w:tc>
          <w:tcPr>
            <w:tcW w:w="744" w:type="pct"/>
            <w:noWrap/>
            <w:hideMark/>
          </w:tcPr>
          <w:p w14:paraId="092E0DCF" w14:textId="77777777" w:rsidR="00A73BCE" w:rsidRPr="008E1DC5" w:rsidRDefault="00A73BCE" w:rsidP="005F6321">
            <w:pPr>
              <w:spacing w:after="0" w:line="240" w:lineRule="auto"/>
              <w:rPr>
                <w:bCs/>
              </w:rPr>
            </w:pPr>
            <w:r w:rsidRPr="008E1DC5">
              <w:rPr>
                <w:bCs/>
              </w:rPr>
              <w:t>493</w:t>
            </w:r>
          </w:p>
        </w:tc>
        <w:tc>
          <w:tcPr>
            <w:tcW w:w="1060" w:type="pct"/>
            <w:noWrap/>
            <w:hideMark/>
          </w:tcPr>
          <w:p w14:paraId="46D46CF4" w14:textId="77777777" w:rsidR="00A73BCE" w:rsidRPr="008E1DC5" w:rsidRDefault="00A73BCE" w:rsidP="005F6321">
            <w:pPr>
              <w:spacing w:after="0" w:line="240" w:lineRule="auto"/>
              <w:rPr>
                <w:bCs/>
              </w:rPr>
            </w:pPr>
            <w:r w:rsidRPr="008E1DC5">
              <w:rPr>
                <w:bCs/>
              </w:rPr>
              <w:t>J45</w:t>
            </w:r>
          </w:p>
        </w:tc>
        <w:tc>
          <w:tcPr>
            <w:tcW w:w="598" w:type="pct"/>
          </w:tcPr>
          <w:p w14:paraId="5E64B3AA" w14:textId="77777777" w:rsidR="00A73BCE" w:rsidRPr="008E1DC5" w:rsidRDefault="00A73BCE" w:rsidP="005F6321">
            <w:pPr>
              <w:spacing w:after="0" w:line="240" w:lineRule="auto"/>
              <w:rPr>
                <w:bCs/>
              </w:rPr>
            </w:pPr>
            <w:r w:rsidRPr="008E1DC5">
              <w:rPr>
                <w:bCs/>
              </w:rPr>
              <w:t>360 (15.2)</w:t>
            </w:r>
          </w:p>
        </w:tc>
        <w:tc>
          <w:tcPr>
            <w:tcW w:w="723" w:type="pct"/>
          </w:tcPr>
          <w:p w14:paraId="584D7798" w14:textId="77777777" w:rsidR="00A73BCE" w:rsidRPr="008E1DC5" w:rsidRDefault="00A73BCE" w:rsidP="005F6321">
            <w:pPr>
              <w:spacing w:after="0" w:line="240" w:lineRule="auto"/>
              <w:rPr>
                <w:bCs/>
              </w:rPr>
            </w:pPr>
            <w:r w:rsidRPr="008E1DC5">
              <w:rPr>
                <w:bCs/>
              </w:rPr>
              <w:t>149 (5.9)</w:t>
            </w:r>
          </w:p>
        </w:tc>
      </w:tr>
      <w:tr w:rsidR="00A73BCE" w:rsidRPr="009E1DDE" w14:paraId="3D703C33" w14:textId="77777777" w:rsidTr="005F6321">
        <w:trPr>
          <w:trHeight w:val="300"/>
        </w:trPr>
        <w:tc>
          <w:tcPr>
            <w:tcW w:w="1875" w:type="pct"/>
            <w:noWrap/>
            <w:hideMark/>
          </w:tcPr>
          <w:p w14:paraId="100CB7B1" w14:textId="77777777" w:rsidR="00A73BCE" w:rsidRPr="008E1DC5" w:rsidRDefault="00A73BCE" w:rsidP="005F6321">
            <w:pPr>
              <w:spacing w:after="0" w:line="240" w:lineRule="auto"/>
              <w:rPr>
                <w:bCs/>
              </w:rPr>
            </w:pPr>
            <w:r w:rsidRPr="008E1DC5">
              <w:rPr>
                <w:bCs/>
              </w:rPr>
              <w:t>Arthritis</w:t>
            </w:r>
          </w:p>
        </w:tc>
        <w:tc>
          <w:tcPr>
            <w:tcW w:w="744" w:type="pct"/>
            <w:noWrap/>
            <w:hideMark/>
          </w:tcPr>
          <w:p w14:paraId="52EFC70F" w14:textId="77777777" w:rsidR="00A73BCE" w:rsidRPr="008E1DC5" w:rsidRDefault="00A73BCE" w:rsidP="005F6321">
            <w:pPr>
              <w:spacing w:after="0" w:line="240" w:lineRule="auto"/>
              <w:rPr>
                <w:bCs/>
              </w:rPr>
            </w:pPr>
            <w:r w:rsidRPr="008E1DC5">
              <w:rPr>
                <w:bCs/>
              </w:rPr>
              <w:t>711-716</w:t>
            </w:r>
          </w:p>
        </w:tc>
        <w:tc>
          <w:tcPr>
            <w:tcW w:w="1060" w:type="pct"/>
            <w:noWrap/>
            <w:hideMark/>
          </w:tcPr>
          <w:p w14:paraId="53B46869" w14:textId="77777777" w:rsidR="00A73BCE" w:rsidRPr="008E1DC5" w:rsidRDefault="00A73BCE" w:rsidP="005F6321">
            <w:pPr>
              <w:spacing w:after="0" w:line="240" w:lineRule="auto"/>
              <w:rPr>
                <w:bCs/>
              </w:rPr>
            </w:pPr>
            <w:r w:rsidRPr="008E1DC5">
              <w:rPr>
                <w:bCs/>
              </w:rPr>
              <w:t>M00-M19</w:t>
            </w:r>
          </w:p>
        </w:tc>
        <w:tc>
          <w:tcPr>
            <w:tcW w:w="598" w:type="pct"/>
          </w:tcPr>
          <w:p w14:paraId="4B165571" w14:textId="77777777" w:rsidR="00A73BCE" w:rsidRPr="008E1DC5" w:rsidRDefault="00A73BCE" w:rsidP="005F6321">
            <w:pPr>
              <w:spacing w:after="0" w:line="240" w:lineRule="auto"/>
              <w:rPr>
                <w:bCs/>
              </w:rPr>
            </w:pPr>
            <w:r w:rsidRPr="008E1DC5">
              <w:rPr>
                <w:bCs/>
              </w:rPr>
              <w:t>473 (18.3)</w:t>
            </w:r>
          </w:p>
        </w:tc>
        <w:tc>
          <w:tcPr>
            <w:tcW w:w="723" w:type="pct"/>
          </w:tcPr>
          <w:p w14:paraId="32D8ACF7" w14:textId="77777777" w:rsidR="00A73BCE" w:rsidRPr="008E1DC5" w:rsidRDefault="00A73BCE" w:rsidP="005F6321">
            <w:pPr>
              <w:spacing w:after="0" w:line="240" w:lineRule="auto"/>
              <w:rPr>
                <w:bCs/>
              </w:rPr>
            </w:pPr>
            <w:r w:rsidRPr="008E1DC5">
              <w:rPr>
                <w:bCs/>
              </w:rPr>
              <w:t>195 (7.9)</w:t>
            </w:r>
          </w:p>
        </w:tc>
      </w:tr>
      <w:tr w:rsidR="00A73BCE" w:rsidRPr="009E1DDE" w14:paraId="5DA90AD4" w14:textId="77777777" w:rsidTr="005F6321">
        <w:trPr>
          <w:trHeight w:val="300"/>
        </w:trPr>
        <w:tc>
          <w:tcPr>
            <w:tcW w:w="1875" w:type="pct"/>
            <w:noWrap/>
            <w:hideMark/>
          </w:tcPr>
          <w:p w14:paraId="15C23A69" w14:textId="77777777" w:rsidR="00A73BCE" w:rsidRPr="008E1DC5" w:rsidRDefault="00A73BCE" w:rsidP="005F6321">
            <w:pPr>
              <w:spacing w:after="0" w:line="240" w:lineRule="auto"/>
              <w:rPr>
                <w:bCs/>
              </w:rPr>
            </w:pPr>
            <w:r w:rsidRPr="008E1DC5">
              <w:rPr>
                <w:bCs/>
              </w:rPr>
              <w:t>Congestive heart failure</w:t>
            </w:r>
          </w:p>
        </w:tc>
        <w:tc>
          <w:tcPr>
            <w:tcW w:w="744" w:type="pct"/>
            <w:noWrap/>
            <w:hideMark/>
          </w:tcPr>
          <w:p w14:paraId="5747855E" w14:textId="77777777" w:rsidR="00A73BCE" w:rsidRPr="008E1DC5" w:rsidRDefault="00A73BCE" w:rsidP="005F6321">
            <w:pPr>
              <w:spacing w:after="0" w:line="240" w:lineRule="auto"/>
              <w:rPr>
                <w:bCs/>
              </w:rPr>
            </w:pPr>
            <w:r w:rsidRPr="008E1DC5">
              <w:rPr>
                <w:bCs/>
              </w:rPr>
              <w:t>428</w:t>
            </w:r>
          </w:p>
        </w:tc>
        <w:tc>
          <w:tcPr>
            <w:tcW w:w="1060" w:type="pct"/>
            <w:noWrap/>
            <w:hideMark/>
          </w:tcPr>
          <w:p w14:paraId="6DD43BF7" w14:textId="77777777" w:rsidR="00A73BCE" w:rsidRPr="008E1DC5" w:rsidRDefault="00A73BCE" w:rsidP="005F6321">
            <w:pPr>
              <w:spacing w:after="0" w:line="240" w:lineRule="auto"/>
              <w:rPr>
                <w:bCs/>
              </w:rPr>
            </w:pPr>
            <w:r w:rsidRPr="008E1DC5">
              <w:rPr>
                <w:bCs/>
              </w:rPr>
              <w:t>I50</w:t>
            </w:r>
          </w:p>
        </w:tc>
        <w:tc>
          <w:tcPr>
            <w:tcW w:w="598" w:type="pct"/>
          </w:tcPr>
          <w:p w14:paraId="020D6440" w14:textId="77777777" w:rsidR="00A73BCE" w:rsidRPr="008E1DC5" w:rsidRDefault="00A73BCE" w:rsidP="005F6321">
            <w:pPr>
              <w:spacing w:after="0" w:line="240" w:lineRule="auto"/>
              <w:rPr>
                <w:bCs/>
              </w:rPr>
            </w:pPr>
            <w:r w:rsidRPr="008E1DC5">
              <w:rPr>
                <w:bCs/>
              </w:rPr>
              <w:t>28 (1.2)</w:t>
            </w:r>
          </w:p>
        </w:tc>
        <w:tc>
          <w:tcPr>
            <w:tcW w:w="723" w:type="pct"/>
          </w:tcPr>
          <w:p w14:paraId="56CBA5EB" w14:textId="77777777" w:rsidR="00A73BCE" w:rsidRPr="008E1DC5" w:rsidRDefault="00A73BCE" w:rsidP="005F6321">
            <w:pPr>
              <w:spacing w:after="0" w:line="240" w:lineRule="auto"/>
              <w:rPr>
                <w:bCs/>
              </w:rPr>
            </w:pPr>
            <w:r w:rsidRPr="008E1DC5">
              <w:rPr>
                <w:bCs/>
              </w:rPr>
              <w:t>66 (2.7)</w:t>
            </w:r>
          </w:p>
        </w:tc>
      </w:tr>
      <w:tr w:rsidR="00A73BCE" w:rsidRPr="009E1DDE" w14:paraId="6E22AD8E" w14:textId="77777777" w:rsidTr="005F6321">
        <w:trPr>
          <w:trHeight w:val="300"/>
        </w:trPr>
        <w:tc>
          <w:tcPr>
            <w:tcW w:w="1875" w:type="pct"/>
            <w:noWrap/>
            <w:hideMark/>
          </w:tcPr>
          <w:p w14:paraId="39114B6C" w14:textId="77777777" w:rsidR="00A73BCE" w:rsidRPr="008E1DC5" w:rsidRDefault="00A73BCE" w:rsidP="005F6321">
            <w:pPr>
              <w:spacing w:after="0" w:line="240" w:lineRule="auto"/>
              <w:rPr>
                <w:bCs/>
              </w:rPr>
            </w:pPr>
            <w:r w:rsidRPr="008E1DC5">
              <w:rPr>
                <w:bCs/>
              </w:rPr>
              <w:t>Coronary heart disease</w:t>
            </w:r>
          </w:p>
        </w:tc>
        <w:tc>
          <w:tcPr>
            <w:tcW w:w="744" w:type="pct"/>
            <w:noWrap/>
            <w:hideMark/>
          </w:tcPr>
          <w:p w14:paraId="678730FE" w14:textId="77777777" w:rsidR="00A73BCE" w:rsidRPr="008E1DC5" w:rsidRDefault="00A73BCE" w:rsidP="005F6321">
            <w:pPr>
              <w:spacing w:after="0" w:line="240" w:lineRule="auto"/>
              <w:rPr>
                <w:bCs/>
              </w:rPr>
            </w:pPr>
            <w:r w:rsidRPr="008E1DC5">
              <w:rPr>
                <w:bCs/>
              </w:rPr>
              <w:t>410-414</w:t>
            </w:r>
          </w:p>
        </w:tc>
        <w:tc>
          <w:tcPr>
            <w:tcW w:w="1060" w:type="pct"/>
            <w:noWrap/>
            <w:hideMark/>
          </w:tcPr>
          <w:p w14:paraId="486F7A68" w14:textId="77777777" w:rsidR="00A73BCE" w:rsidRPr="008E1DC5" w:rsidRDefault="00A73BCE" w:rsidP="005F6321">
            <w:pPr>
              <w:spacing w:after="0" w:line="240" w:lineRule="auto"/>
              <w:rPr>
                <w:bCs/>
              </w:rPr>
            </w:pPr>
            <w:r w:rsidRPr="008E1DC5">
              <w:rPr>
                <w:bCs/>
              </w:rPr>
              <w:t>I20-I25</w:t>
            </w:r>
          </w:p>
        </w:tc>
        <w:tc>
          <w:tcPr>
            <w:tcW w:w="598" w:type="pct"/>
          </w:tcPr>
          <w:p w14:paraId="77B7C477" w14:textId="77777777" w:rsidR="00A73BCE" w:rsidRPr="008E1DC5" w:rsidRDefault="00A73BCE" w:rsidP="005F6321">
            <w:pPr>
              <w:spacing w:after="0" w:line="240" w:lineRule="auto"/>
              <w:rPr>
                <w:bCs/>
              </w:rPr>
            </w:pPr>
            <w:r w:rsidRPr="008E1DC5">
              <w:rPr>
                <w:bCs/>
              </w:rPr>
              <w:t>68 (2.9)</w:t>
            </w:r>
          </w:p>
        </w:tc>
        <w:tc>
          <w:tcPr>
            <w:tcW w:w="723" w:type="pct"/>
          </w:tcPr>
          <w:p w14:paraId="5FF8FD84" w14:textId="77777777" w:rsidR="00A73BCE" w:rsidRPr="008E1DC5" w:rsidRDefault="00A73BCE" w:rsidP="005F6321">
            <w:pPr>
              <w:spacing w:after="0" w:line="240" w:lineRule="auto"/>
              <w:rPr>
                <w:bCs/>
              </w:rPr>
            </w:pPr>
            <w:r w:rsidRPr="008E1DC5">
              <w:rPr>
                <w:bCs/>
              </w:rPr>
              <w:t>182 (7.4)</w:t>
            </w:r>
          </w:p>
        </w:tc>
      </w:tr>
      <w:tr w:rsidR="00A73BCE" w:rsidRPr="009E1DDE" w14:paraId="004C7C7B" w14:textId="77777777" w:rsidTr="005F6321">
        <w:trPr>
          <w:trHeight w:val="300"/>
        </w:trPr>
        <w:tc>
          <w:tcPr>
            <w:tcW w:w="1875" w:type="pct"/>
            <w:noWrap/>
            <w:hideMark/>
          </w:tcPr>
          <w:p w14:paraId="43692369" w14:textId="77777777" w:rsidR="00A73BCE" w:rsidRPr="008E1DC5" w:rsidRDefault="00A73BCE" w:rsidP="005F6321">
            <w:pPr>
              <w:spacing w:after="0" w:line="240" w:lineRule="auto"/>
              <w:rPr>
                <w:bCs/>
              </w:rPr>
            </w:pPr>
            <w:r w:rsidRPr="008E1DC5">
              <w:rPr>
                <w:bCs/>
              </w:rPr>
              <w:t>Angina</w:t>
            </w:r>
          </w:p>
        </w:tc>
        <w:tc>
          <w:tcPr>
            <w:tcW w:w="744" w:type="pct"/>
            <w:noWrap/>
            <w:hideMark/>
          </w:tcPr>
          <w:p w14:paraId="338052AE" w14:textId="77777777" w:rsidR="00A73BCE" w:rsidRPr="008E1DC5" w:rsidRDefault="00A73BCE" w:rsidP="005F6321">
            <w:pPr>
              <w:spacing w:after="0" w:line="240" w:lineRule="auto"/>
              <w:rPr>
                <w:bCs/>
              </w:rPr>
            </w:pPr>
            <w:r w:rsidRPr="008E1DC5">
              <w:rPr>
                <w:bCs/>
              </w:rPr>
              <w:t>411, 413</w:t>
            </w:r>
          </w:p>
        </w:tc>
        <w:tc>
          <w:tcPr>
            <w:tcW w:w="1060" w:type="pct"/>
            <w:noWrap/>
            <w:hideMark/>
          </w:tcPr>
          <w:p w14:paraId="5CF0A763" w14:textId="77777777" w:rsidR="00A73BCE" w:rsidRPr="008E1DC5" w:rsidRDefault="00A73BCE" w:rsidP="005F6321">
            <w:pPr>
              <w:spacing w:after="0" w:line="240" w:lineRule="auto"/>
              <w:rPr>
                <w:bCs/>
              </w:rPr>
            </w:pPr>
            <w:r w:rsidRPr="008E1DC5">
              <w:rPr>
                <w:bCs/>
              </w:rPr>
              <w:t>I20</w:t>
            </w:r>
          </w:p>
        </w:tc>
        <w:tc>
          <w:tcPr>
            <w:tcW w:w="598" w:type="pct"/>
          </w:tcPr>
          <w:p w14:paraId="17527A6D" w14:textId="77777777" w:rsidR="00A73BCE" w:rsidRPr="008E1DC5" w:rsidRDefault="00A73BCE" w:rsidP="005F6321">
            <w:pPr>
              <w:spacing w:after="0" w:line="240" w:lineRule="auto"/>
              <w:rPr>
                <w:bCs/>
              </w:rPr>
            </w:pPr>
            <w:r w:rsidRPr="008E1DC5">
              <w:rPr>
                <w:bCs/>
              </w:rPr>
              <w:t>108 (4.4)</w:t>
            </w:r>
          </w:p>
        </w:tc>
        <w:tc>
          <w:tcPr>
            <w:tcW w:w="723" w:type="pct"/>
          </w:tcPr>
          <w:p w14:paraId="522F6BEE" w14:textId="77777777" w:rsidR="00A73BCE" w:rsidRPr="008E1DC5" w:rsidRDefault="00A73BCE" w:rsidP="005F6321">
            <w:pPr>
              <w:spacing w:after="0" w:line="240" w:lineRule="auto"/>
              <w:rPr>
                <w:bCs/>
              </w:rPr>
            </w:pPr>
            <w:r w:rsidRPr="008E1DC5">
              <w:rPr>
                <w:bCs/>
              </w:rPr>
              <w:t>98 (4.1)</w:t>
            </w:r>
          </w:p>
        </w:tc>
      </w:tr>
      <w:tr w:rsidR="00A73BCE" w:rsidRPr="009E1DDE" w14:paraId="362F2C04" w14:textId="77777777" w:rsidTr="005F6321">
        <w:trPr>
          <w:trHeight w:val="300"/>
        </w:trPr>
        <w:tc>
          <w:tcPr>
            <w:tcW w:w="1875" w:type="pct"/>
            <w:noWrap/>
            <w:hideMark/>
          </w:tcPr>
          <w:p w14:paraId="11502732" w14:textId="77777777" w:rsidR="00A73BCE" w:rsidRPr="008E1DC5" w:rsidRDefault="00A73BCE" w:rsidP="005F6321">
            <w:pPr>
              <w:spacing w:after="0" w:line="240" w:lineRule="auto"/>
              <w:rPr>
                <w:bCs/>
              </w:rPr>
            </w:pPr>
            <w:r w:rsidRPr="008E1DC5">
              <w:rPr>
                <w:bCs/>
              </w:rPr>
              <w:t>Heart attack or myocardial infarction</w:t>
            </w:r>
          </w:p>
        </w:tc>
        <w:tc>
          <w:tcPr>
            <w:tcW w:w="744" w:type="pct"/>
            <w:noWrap/>
            <w:hideMark/>
          </w:tcPr>
          <w:p w14:paraId="4AFC5898" w14:textId="77777777" w:rsidR="00A73BCE" w:rsidRPr="008E1DC5" w:rsidRDefault="00A73BCE" w:rsidP="005F6321">
            <w:pPr>
              <w:spacing w:after="0" w:line="240" w:lineRule="auto"/>
              <w:rPr>
                <w:bCs/>
              </w:rPr>
            </w:pPr>
            <w:r w:rsidRPr="008E1DC5">
              <w:rPr>
                <w:bCs/>
              </w:rPr>
              <w:t>410</w:t>
            </w:r>
          </w:p>
        </w:tc>
        <w:tc>
          <w:tcPr>
            <w:tcW w:w="1060" w:type="pct"/>
            <w:noWrap/>
            <w:hideMark/>
          </w:tcPr>
          <w:p w14:paraId="4DDFA69A" w14:textId="77777777" w:rsidR="00A73BCE" w:rsidRPr="008E1DC5" w:rsidRDefault="00A73BCE" w:rsidP="005F6321">
            <w:pPr>
              <w:spacing w:after="0" w:line="240" w:lineRule="auto"/>
              <w:rPr>
                <w:bCs/>
              </w:rPr>
            </w:pPr>
            <w:r w:rsidRPr="008E1DC5">
              <w:rPr>
                <w:bCs/>
              </w:rPr>
              <w:t>I21 I22 I23</w:t>
            </w:r>
          </w:p>
        </w:tc>
        <w:tc>
          <w:tcPr>
            <w:tcW w:w="598" w:type="pct"/>
          </w:tcPr>
          <w:p w14:paraId="180736C4" w14:textId="77777777" w:rsidR="00A73BCE" w:rsidRPr="008E1DC5" w:rsidRDefault="00A73BCE" w:rsidP="005F6321">
            <w:pPr>
              <w:spacing w:after="0" w:line="240" w:lineRule="auto"/>
              <w:rPr>
                <w:bCs/>
              </w:rPr>
            </w:pPr>
            <w:r w:rsidRPr="008E1DC5">
              <w:rPr>
                <w:bCs/>
              </w:rPr>
              <w:t>86 (3.5)</w:t>
            </w:r>
          </w:p>
        </w:tc>
        <w:tc>
          <w:tcPr>
            <w:tcW w:w="723" w:type="pct"/>
          </w:tcPr>
          <w:p w14:paraId="67CCC85B" w14:textId="77777777" w:rsidR="00A73BCE" w:rsidRPr="008E1DC5" w:rsidRDefault="00A73BCE" w:rsidP="005F6321">
            <w:pPr>
              <w:spacing w:after="0" w:line="240" w:lineRule="auto"/>
              <w:rPr>
                <w:bCs/>
              </w:rPr>
            </w:pPr>
            <w:r w:rsidRPr="008E1DC5">
              <w:rPr>
                <w:bCs/>
              </w:rPr>
              <w:t>66 (2.7)</w:t>
            </w:r>
          </w:p>
        </w:tc>
      </w:tr>
      <w:tr w:rsidR="00A73BCE" w:rsidRPr="009E1DDE" w14:paraId="6499D161" w14:textId="77777777" w:rsidTr="005F6321">
        <w:trPr>
          <w:trHeight w:val="300"/>
        </w:trPr>
        <w:tc>
          <w:tcPr>
            <w:tcW w:w="1875" w:type="pct"/>
            <w:noWrap/>
            <w:hideMark/>
          </w:tcPr>
          <w:p w14:paraId="4AB870F1" w14:textId="77777777" w:rsidR="00A73BCE" w:rsidRPr="008E1DC5" w:rsidRDefault="00A73BCE" w:rsidP="005F6321">
            <w:pPr>
              <w:spacing w:after="0" w:line="240" w:lineRule="auto"/>
              <w:rPr>
                <w:bCs/>
              </w:rPr>
            </w:pPr>
            <w:r w:rsidRPr="008E1DC5">
              <w:rPr>
                <w:bCs/>
              </w:rPr>
              <w:t>Stroke</w:t>
            </w:r>
          </w:p>
        </w:tc>
        <w:tc>
          <w:tcPr>
            <w:tcW w:w="744" w:type="pct"/>
            <w:noWrap/>
            <w:hideMark/>
          </w:tcPr>
          <w:p w14:paraId="20D19F13" w14:textId="77777777" w:rsidR="00A73BCE" w:rsidRPr="008E1DC5" w:rsidRDefault="00A73BCE" w:rsidP="005F6321">
            <w:pPr>
              <w:spacing w:after="0" w:line="240" w:lineRule="auto"/>
              <w:rPr>
                <w:bCs/>
              </w:rPr>
            </w:pPr>
            <w:r w:rsidRPr="008E1DC5">
              <w:rPr>
                <w:bCs/>
              </w:rPr>
              <w:t>430-438</w:t>
            </w:r>
          </w:p>
        </w:tc>
        <w:tc>
          <w:tcPr>
            <w:tcW w:w="1060" w:type="pct"/>
            <w:noWrap/>
            <w:hideMark/>
          </w:tcPr>
          <w:p w14:paraId="24D0675B" w14:textId="77777777" w:rsidR="00A73BCE" w:rsidRPr="008E1DC5" w:rsidRDefault="00A73BCE" w:rsidP="005F6321">
            <w:pPr>
              <w:spacing w:after="0" w:line="240" w:lineRule="auto"/>
              <w:rPr>
                <w:bCs/>
              </w:rPr>
            </w:pPr>
            <w:r w:rsidRPr="008E1DC5">
              <w:rPr>
                <w:bCs/>
              </w:rPr>
              <w:t>I60-I69</w:t>
            </w:r>
          </w:p>
        </w:tc>
        <w:tc>
          <w:tcPr>
            <w:tcW w:w="598" w:type="pct"/>
          </w:tcPr>
          <w:p w14:paraId="6A19E486" w14:textId="77777777" w:rsidR="00A73BCE" w:rsidRPr="008E1DC5" w:rsidRDefault="00A73BCE" w:rsidP="005F6321">
            <w:pPr>
              <w:spacing w:after="0" w:line="240" w:lineRule="auto"/>
              <w:rPr>
                <w:bCs/>
              </w:rPr>
            </w:pPr>
            <w:r w:rsidRPr="008E1DC5">
              <w:rPr>
                <w:bCs/>
              </w:rPr>
              <w:t>81 (3.5)</w:t>
            </w:r>
          </w:p>
        </w:tc>
        <w:tc>
          <w:tcPr>
            <w:tcW w:w="723" w:type="pct"/>
          </w:tcPr>
          <w:p w14:paraId="7E60DA0B" w14:textId="77777777" w:rsidR="00A73BCE" w:rsidRPr="008E1DC5" w:rsidRDefault="00A73BCE" w:rsidP="005F6321">
            <w:pPr>
              <w:spacing w:after="0" w:line="240" w:lineRule="auto"/>
              <w:rPr>
                <w:bCs/>
              </w:rPr>
            </w:pPr>
            <w:r w:rsidRPr="008E1DC5">
              <w:rPr>
                <w:bCs/>
              </w:rPr>
              <w:t>73 (3.4)</w:t>
            </w:r>
          </w:p>
        </w:tc>
      </w:tr>
      <w:tr w:rsidR="00A73BCE" w:rsidRPr="009E1DDE" w14:paraId="3CF1B3CA" w14:textId="77777777" w:rsidTr="005F6321">
        <w:trPr>
          <w:trHeight w:val="300"/>
        </w:trPr>
        <w:tc>
          <w:tcPr>
            <w:tcW w:w="1875" w:type="pct"/>
            <w:noWrap/>
            <w:hideMark/>
          </w:tcPr>
          <w:p w14:paraId="7C0259F7" w14:textId="77777777" w:rsidR="00A73BCE" w:rsidRPr="008E1DC5" w:rsidRDefault="00A73BCE" w:rsidP="005F6321">
            <w:pPr>
              <w:spacing w:after="0" w:line="240" w:lineRule="auto"/>
              <w:rPr>
                <w:bCs/>
              </w:rPr>
            </w:pPr>
            <w:r w:rsidRPr="008E1DC5">
              <w:rPr>
                <w:bCs/>
              </w:rPr>
              <w:t>Emphysema</w:t>
            </w:r>
          </w:p>
        </w:tc>
        <w:tc>
          <w:tcPr>
            <w:tcW w:w="744" w:type="pct"/>
            <w:noWrap/>
            <w:hideMark/>
          </w:tcPr>
          <w:p w14:paraId="01424FDF" w14:textId="77777777" w:rsidR="00A73BCE" w:rsidRPr="008E1DC5" w:rsidRDefault="00A73BCE" w:rsidP="005F6321">
            <w:pPr>
              <w:spacing w:after="0" w:line="240" w:lineRule="auto"/>
              <w:rPr>
                <w:bCs/>
              </w:rPr>
            </w:pPr>
            <w:r w:rsidRPr="008E1DC5">
              <w:rPr>
                <w:bCs/>
              </w:rPr>
              <w:t>492</w:t>
            </w:r>
          </w:p>
        </w:tc>
        <w:tc>
          <w:tcPr>
            <w:tcW w:w="1060" w:type="pct"/>
            <w:noWrap/>
            <w:hideMark/>
          </w:tcPr>
          <w:p w14:paraId="67FECA4B" w14:textId="77777777" w:rsidR="00A73BCE" w:rsidRPr="008E1DC5" w:rsidRDefault="00A73BCE" w:rsidP="005F6321">
            <w:pPr>
              <w:spacing w:after="0" w:line="240" w:lineRule="auto"/>
              <w:rPr>
                <w:bCs/>
              </w:rPr>
            </w:pPr>
            <w:r w:rsidRPr="008E1DC5">
              <w:rPr>
                <w:bCs/>
              </w:rPr>
              <w:t>J43</w:t>
            </w:r>
          </w:p>
        </w:tc>
        <w:tc>
          <w:tcPr>
            <w:tcW w:w="598" w:type="pct"/>
          </w:tcPr>
          <w:p w14:paraId="34A38680" w14:textId="77777777" w:rsidR="00A73BCE" w:rsidRPr="008E1DC5" w:rsidRDefault="00A73BCE" w:rsidP="005F6321">
            <w:pPr>
              <w:spacing w:after="0" w:line="240" w:lineRule="auto"/>
              <w:rPr>
                <w:bCs/>
              </w:rPr>
            </w:pPr>
            <w:r w:rsidRPr="008E1DC5">
              <w:rPr>
                <w:bCs/>
              </w:rPr>
              <w:t>43 (1.7)</w:t>
            </w:r>
          </w:p>
        </w:tc>
        <w:tc>
          <w:tcPr>
            <w:tcW w:w="723" w:type="pct"/>
          </w:tcPr>
          <w:p w14:paraId="006BA6FC" w14:textId="77777777" w:rsidR="00A73BCE" w:rsidRPr="008E1DC5" w:rsidRDefault="00A73BCE" w:rsidP="005F6321">
            <w:pPr>
              <w:spacing w:after="0" w:line="240" w:lineRule="auto"/>
              <w:rPr>
                <w:bCs/>
              </w:rPr>
            </w:pPr>
            <w:r w:rsidRPr="008E1DC5">
              <w:rPr>
                <w:bCs/>
              </w:rPr>
              <w:t>10 (0.3)</w:t>
            </w:r>
          </w:p>
        </w:tc>
      </w:tr>
      <w:tr w:rsidR="00A73BCE" w:rsidRPr="009E1DDE" w14:paraId="151E39C4" w14:textId="77777777" w:rsidTr="005F6321">
        <w:trPr>
          <w:trHeight w:val="300"/>
        </w:trPr>
        <w:tc>
          <w:tcPr>
            <w:tcW w:w="1875" w:type="pct"/>
            <w:noWrap/>
            <w:hideMark/>
          </w:tcPr>
          <w:p w14:paraId="1F8B269A" w14:textId="77777777" w:rsidR="00A73BCE" w:rsidRPr="008E1DC5" w:rsidRDefault="00A73BCE" w:rsidP="005F6321">
            <w:pPr>
              <w:spacing w:after="0" w:line="240" w:lineRule="auto"/>
              <w:rPr>
                <w:bCs/>
              </w:rPr>
            </w:pPr>
            <w:r w:rsidRPr="008E1DC5">
              <w:rPr>
                <w:bCs/>
              </w:rPr>
              <w:t xml:space="preserve">Hyperthyroidism </w:t>
            </w:r>
          </w:p>
        </w:tc>
        <w:tc>
          <w:tcPr>
            <w:tcW w:w="744" w:type="pct"/>
            <w:noWrap/>
            <w:hideMark/>
          </w:tcPr>
          <w:p w14:paraId="38549532" w14:textId="77777777" w:rsidR="00A73BCE" w:rsidRPr="008E1DC5" w:rsidRDefault="00A73BCE" w:rsidP="005F6321">
            <w:pPr>
              <w:spacing w:after="0" w:line="240" w:lineRule="auto"/>
              <w:rPr>
                <w:bCs/>
              </w:rPr>
            </w:pPr>
            <w:r w:rsidRPr="008E1DC5">
              <w:rPr>
                <w:bCs/>
              </w:rPr>
              <w:t>242</w:t>
            </w:r>
          </w:p>
        </w:tc>
        <w:tc>
          <w:tcPr>
            <w:tcW w:w="1060" w:type="pct"/>
            <w:noWrap/>
            <w:hideMark/>
          </w:tcPr>
          <w:p w14:paraId="1FEC824C" w14:textId="77777777" w:rsidR="00A73BCE" w:rsidRPr="008E1DC5" w:rsidRDefault="00A73BCE" w:rsidP="005F6321">
            <w:pPr>
              <w:spacing w:after="0" w:line="240" w:lineRule="auto"/>
              <w:rPr>
                <w:bCs/>
              </w:rPr>
            </w:pPr>
            <w:r w:rsidRPr="008E1DC5">
              <w:rPr>
                <w:bCs/>
              </w:rPr>
              <w:t>E05</w:t>
            </w:r>
          </w:p>
        </w:tc>
        <w:tc>
          <w:tcPr>
            <w:tcW w:w="598" w:type="pct"/>
          </w:tcPr>
          <w:p w14:paraId="4F4F5D00" w14:textId="77777777" w:rsidR="00A73BCE" w:rsidRPr="008E1DC5" w:rsidRDefault="00A73BCE" w:rsidP="005F6321">
            <w:pPr>
              <w:spacing w:after="0" w:line="240" w:lineRule="auto"/>
              <w:rPr>
                <w:bCs/>
              </w:rPr>
            </w:pPr>
            <w:r w:rsidRPr="008E1DC5">
              <w:rPr>
                <w:bCs/>
              </w:rPr>
              <w:t>22 (0.9)</w:t>
            </w:r>
          </w:p>
        </w:tc>
        <w:tc>
          <w:tcPr>
            <w:tcW w:w="723" w:type="pct"/>
          </w:tcPr>
          <w:p w14:paraId="32AF961A" w14:textId="77777777" w:rsidR="00A73BCE" w:rsidRPr="008E1DC5" w:rsidRDefault="00A73BCE" w:rsidP="005F6321">
            <w:pPr>
              <w:spacing w:after="0" w:line="240" w:lineRule="auto"/>
              <w:rPr>
                <w:bCs/>
              </w:rPr>
            </w:pPr>
            <w:r w:rsidRPr="008E1DC5">
              <w:rPr>
                <w:bCs/>
              </w:rPr>
              <w:t>15 (0.6)</w:t>
            </w:r>
          </w:p>
        </w:tc>
      </w:tr>
      <w:tr w:rsidR="00A73BCE" w:rsidRPr="009E1DDE" w14:paraId="37B00D31" w14:textId="77777777" w:rsidTr="005F6321">
        <w:trPr>
          <w:trHeight w:val="300"/>
        </w:trPr>
        <w:tc>
          <w:tcPr>
            <w:tcW w:w="1875" w:type="pct"/>
            <w:noWrap/>
            <w:hideMark/>
          </w:tcPr>
          <w:p w14:paraId="439AD145" w14:textId="77777777" w:rsidR="00A73BCE" w:rsidRPr="008E1DC5" w:rsidRDefault="00A73BCE" w:rsidP="005F6321">
            <w:pPr>
              <w:spacing w:after="0" w:line="240" w:lineRule="auto"/>
              <w:rPr>
                <w:bCs/>
              </w:rPr>
            </w:pPr>
            <w:r w:rsidRPr="008E1DC5">
              <w:rPr>
                <w:bCs/>
              </w:rPr>
              <w:t xml:space="preserve">Hypothyroidism </w:t>
            </w:r>
          </w:p>
        </w:tc>
        <w:tc>
          <w:tcPr>
            <w:tcW w:w="744" w:type="pct"/>
            <w:noWrap/>
            <w:hideMark/>
          </w:tcPr>
          <w:p w14:paraId="255B1F55" w14:textId="77777777" w:rsidR="00A73BCE" w:rsidRPr="008E1DC5" w:rsidRDefault="00A73BCE" w:rsidP="005F6321">
            <w:pPr>
              <w:spacing w:after="0" w:line="240" w:lineRule="auto"/>
              <w:rPr>
                <w:bCs/>
              </w:rPr>
            </w:pPr>
            <w:r w:rsidRPr="008E1DC5">
              <w:rPr>
                <w:bCs/>
              </w:rPr>
              <w:t>244</w:t>
            </w:r>
          </w:p>
        </w:tc>
        <w:tc>
          <w:tcPr>
            <w:tcW w:w="1060" w:type="pct"/>
            <w:noWrap/>
            <w:hideMark/>
          </w:tcPr>
          <w:p w14:paraId="33CDBC7F" w14:textId="77777777" w:rsidR="00A73BCE" w:rsidRPr="008E1DC5" w:rsidRDefault="00A73BCE" w:rsidP="005F6321">
            <w:pPr>
              <w:spacing w:after="0" w:line="240" w:lineRule="auto"/>
              <w:rPr>
                <w:bCs/>
              </w:rPr>
            </w:pPr>
            <w:r w:rsidRPr="008E1DC5">
              <w:rPr>
                <w:bCs/>
              </w:rPr>
              <w:t>E00-E03</w:t>
            </w:r>
          </w:p>
        </w:tc>
        <w:tc>
          <w:tcPr>
            <w:tcW w:w="598" w:type="pct"/>
          </w:tcPr>
          <w:p w14:paraId="76C52BF3" w14:textId="77777777" w:rsidR="00A73BCE" w:rsidRPr="008E1DC5" w:rsidRDefault="00A73BCE" w:rsidP="005F6321">
            <w:pPr>
              <w:spacing w:after="0" w:line="240" w:lineRule="auto"/>
              <w:rPr>
                <w:bCs/>
              </w:rPr>
            </w:pPr>
            <w:r w:rsidRPr="008E1DC5">
              <w:rPr>
                <w:bCs/>
              </w:rPr>
              <w:t>114 (4.4)</w:t>
            </w:r>
          </w:p>
        </w:tc>
        <w:tc>
          <w:tcPr>
            <w:tcW w:w="723" w:type="pct"/>
          </w:tcPr>
          <w:p w14:paraId="053404FD" w14:textId="77777777" w:rsidR="00A73BCE" w:rsidRPr="008E1DC5" w:rsidRDefault="00A73BCE" w:rsidP="005F6321">
            <w:pPr>
              <w:spacing w:after="0" w:line="240" w:lineRule="auto"/>
              <w:rPr>
                <w:bCs/>
              </w:rPr>
            </w:pPr>
            <w:r w:rsidRPr="008E1DC5">
              <w:rPr>
                <w:bCs/>
              </w:rPr>
              <w:t>50 (1.9)</w:t>
            </w:r>
          </w:p>
        </w:tc>
      </w:tr>
      <w:tr w:rsidR="00A73BCE" w:rsidRPr="009E1DDE" w14:paraId="2D567278" w14:textId="77777777" w:rsidTr="005F6321">
        <w:trPr>
          <w:trHeight w:val="300"/>
        </w:trPr>
        <w:tc>
          <w:tcPr>
            <w:tcW w:w="1875" w:type="pct"/>
            <w:noWrap/>
            <w:hideMark/>
          </w:tcPr>
          <w:p w14:paraId="77F6DBE0" w14:textId="77777777" w:rsidR="00A73BCE" w:rsidRPr="008E1DC5" w:rsidRDefault="00A73BCE" w:rsidP="005F6321">
            <w:pPr>
              <w:spacing w:after="0" w:line="240" w:lineRule="auto"/>
              <w:rPr>
                <w:bCs/>
              </w:rPr>
            </w:pPr>
            <w:r w:rsidRPr="008E1DC5">
              <w:rPr>
                <w:bCs/>
              </w:rPr>
              <w:t>Chronic bronchitis</w:t>
            </w:r>
            <w:r>
              <w:rPr>
                <w:bCs/>
              </w:rPr>
              <w:t xml:space="preserve"> / COPD</w:t>
            </w:r>
          </w:p>
        </w:tc>
        <w:tc>
          <w:tcPr>
            <w:tcW w:w="744" w:type="pct"/>
            <w:noWrap/>
            <w:hideMark/>
          </w:tcPr>
          <w:p w14:paraId="545E20BA" w14:textId="77777777" w:rsidR="00A73BCE" w:rsidRPr="008E1DC5" w:rsidRDefault="00A73BCE" w:rsidP="005F6321">
            <w:pPr>
              <w:spacing w:after="0" w:line="240" w:lineRule="auto"/>
              <w:rPr>
                <w:bCs/>
              </w:rPr>
            </w:pPr>
            <w:r w:rsidRPr="008E1DC5">
              <w:rPr>
                <w:bCs/>
              </w:rPr>
              <w:t>491, 496</w:t>
            </w:r>
          </w:p>
        </w:tc>
        <w:tc>
          <w:tcPr>
            <w:tcW w:w="1060" w:type="pct"/>
            <w:noWrap/>
            <w:hideMark/>
          </w:tcPr>
          <w:p w14:paraId="3A1A5F41" w14:textId="77777777" w:rsidR="00A73BCE" w:rsidRPr="008E1DC5" w:rsidRDefault="00A73BCE" w:rsidP="005F6321">
            <w:pPr>
              <w:spacing w:after="0" w:line="240" w:lineRule="auto"/>
              <w:rPr>
                <w:bCs/>
              </w:rPr>
            </w:pPr>
            <w:r w:rsidRPr="008E1DC5">
              <w:rPr>
                <w:bCs/>
              </w:rPr>
              <w:t>J44</w:t>
            </w:r>
          </w:p>
        </w:tc>
        <w:tc>
          <w:tcPr>
            <w:tcW w:w="598" w:type="pct"/>
          </w:tcPr>
          <w:p w14:paraId="20C518BB" w14:textId="77777777" w:rsidR="00A73BCE" w:rsidRPr="008E1DC5" w:rsidRDefault="00A73BCE" w:rsidP="005F6321">
            <w:pPr>
              <w:spacing w:after="0" w:line="240" w:lineRule="auto"/>
              <w:rPr>
                <w:bCs/>
              </w:rPr>
            </w:pPr>
            <w:r w:rsidRPr="008E1DC5">
              <w:rPr>
                <w:bCs/>
              </w:rPr>
              <w:t>65 (2.5)</w:t>
            </w:r>
          </w:p>
        </w:tc>
        <w:tc>
          <w:tcPr>
            <w:tcW w:w="723" w:type="pct"/>
          </w:tcPr>
          <w:p w14:paraId="445288C9" w14:textId="77777777" w:rsidR="00A73BCE" w:rsidRPr="008E1DC5" w:rsidRDefault="00A73BCE" w:rsidP="005F6321">
            <w:pPr>
              <w:spacing w:after="0" w:line="240" w:lineRule="auto"/>
              <w:rPr>
                <w:bCs/>
              </w:rPr>
            </w:pPr>
            <w:r w:rsidRPr="008E1DC5">
              <w:rPr>
                <w:bCs/>
              </w:rPr>
              <w:t>87 (3.3)</w:t>
            </w:r>
          </w:p>
        </w:tc>
      </w:tr>
      <w:tr w:rsidR="00A73BCE" w:rsidRPr="009E1DDE" w14:paraId="54940BEB" w14:textId="77777777" w:rsidTr="005F6321">
        <w:trPr>
          <w:trHeight w:val="300"/>
        </w:trPr>
        <w:tc>
          <w:tcPr>
            <w:tcW w:w="1875" w:type="pct"/>
            <w:noWrap/>
            <w:hideMark/>
          </w:tcPr>
          <w:p w14:paraId="68722B33" w14:textId="77777777" w:rsidR="00A73BCE" w:rsidRPr="008E1DC5" w:rsidRDefault="00A73BCE" w:rsidP="005F6321">
            <w:pPr>
              <w:spacing w:after="0" w:line="240" w:lineRule="auto"/>
              <w:rPr>
                <w:bCs/>
              </w:rPr>
            </w:pPr>
            <w:r w:rsidRPr="008E1DC5">
              <w:rPr>
                <w:bCs/>
              </w:rPr>
              <w:t>Any kind of liver condition</w:t>
            </w:r>
          </w:p>
        </w:tc>
        <w:tc>
          <w:tcPr>
            <w:tcW w:w="744" w:type="pct"/>
            <w:noWrap/>
            <w:hideMark/>
          </w:tcPr>
          <w:p w14:paraId="7EF039E9" w14:textId="77777777" w:rsidR="00A73BCE" w:rsidRPr="008E1DC5" w:rsidRDefault="00A73BCE" w:rsidP="005F6321">
            <w:pPr>
              <w:spacing w:after="0" w:line="240" w:lineRule="auto"/>
              <w:rPr>
                <w:bCs/>
              </w:rPr>
            </w:pPr>
            <w:r w:rsidRPr="008E1DC5">
              <w:rPr>
                <w:bCs/>
              </w:rPr>
              <w:t>570-573</w:t>
            </w:r>
          </w:p>
        </w:tc>
        <w:tc>
          <w:tcPr>
            <w:tcW w:w="1060" w:type="pct"/>
            <w:noWrap/>
            <w:hideMark/>
          </w:tcPr>
          <w:p w14:paraId="60EA9F8C" w14:textId="77777777" w:rsidR="00A73BCE" w:rsidRPr="008E1DC5" w:rsidRDefault="00A73BCE" w:rsidP="005F6321">
            <w:pPr>
              <w:spacing w:after="0" w:line="240" w:lineRule="auto"/>
              <w:rPr>
                <w:bCs/>
              </w:rPr>
            </w:pPr>
            <w:r w:rsidRPr="008E1DC5">
              <w:rPr>
                <w:bCs/>
              </w:rPr>
              <w:t>K70-K77</w:t>
            </w:r>
          </w:p>
        </w:tc>
        <w:tc>
          <w:tcPr>
            <w:tcW w:w="598" w:type="pct"/>
          </w:tcPr>
          <w:p w14:paraId="23F79A19" w14:textId="77777777" w:rsidR="00A73BCE" w:rsidRPr="008E1DC5" w:rsidRDefault="00A73BCE" w:rsidP="005F6321">
            <w:pPr>
              <w:spacing w:after="0" w:line="240" w:lineRule="auto"/>
              <w:rPr>
                <w:bCs/>
              </w:rPr>
            </w:pPr>
            <w:r w:rsidRPr="008E1DC5">
              <w:rPr>
                <w:bCs/>
              </w:rPr>
              <w:t>59 (2.4)</w:t>
            </w:r>
          </w:p>
        </w:tc>
        <w:tc>
          <w:tcPr>
            <w:tcW w:w="723" w:type="pct"/>
          </w:tcPr>
          <w:p w14:paraId="6CDF7B8F" w14:textId="77777777" w:rsidR="00A73BCE" w:rsidRPr="008E1DC5" w:rsidRDefault="00A73BCE" w:rsidP="005F6321">
            <w:pPr>
              <w:spacing w:after="0" w:line="240" w:lineRule="auto"/>
              <w:rPr>
                <w:bCs/>
              </w:rPr>
            </w:pPr>
            <w:r w:rsidRPr="008E1DC5">
              <w:rPr>
                <w:bCs/>
              </w:rPr>
              <w:t>47 (1.8)</w:t>
            </w:r>
          </w:p>
        </w:tc>
      </w:tr>
      <w:tr w:rsidR="00A73BCE" w:rsidRPr="009E1DDE" w14:paraId="32FE3070" w14:textId="77777777" w:rsidTr="005F6321">
        <w:trPr>
          <w:trHeight w:val="300"/>
        </w:trPr>
        <w:tc>
          <w:tcPr>
            <w:tcW w:w="1875" w:type="pct"/>
            <w:noWrap/>
            <w:hideMark/>
          </w:tcPr>
          <w:p w14:paraId="4E9A10A9" w14:textId="77777777" w:rsidR="00A73BCE" w:rsidRPr="008E1DC5" w:rsidRDefault="00A73BCE" w:rsidP="005F6321">
            <w:pPr>
              <w:spacing w:after="0" w:line="240" w:lineRule="auto"/>
              <w:rPr>
                <w:bCs/>
              </w:rPr>
            </w:pPr>
            <w:r w:rsidRPr="008E1DC5">
              <w:rPr>
                <w:bCs/>
              </w:rPr>
              <w:t>Cancer or malignancy</w:t>
            </w:r>
          </w:p>
        </w:tc>
        <w:tc>
          <w:tcPr>
            <w:tcW w:w="744" w:type="pct"/>
            <w:noWrap/>
            <w:hideMark/>
          </w:tcPr>
          <w:p w14:paraId="077DF884" w14:textId="77777777" w:rsidR="00A73BCE" w:rsidRPr="008E1DC5" w:rsidRDefault="00A73BCE" w:rsidP="005F6321">
            <w:pPr>
              <w:spacing w:after="0" w:line="240" w:lineRule="auto"/>
              <w:rPr>
                <w:bCs/>
              </w:rPr>
            </w:pPr>
            <w:r w:rsidRPr="008E1DC5">
              <w:rPr>
                <w:bCs/>
              </w:rPr>
              <w:t>140-239</w:t>
            </w:r>
          </w:p>
        </w:tc>
        <w:tc>
          <w:tcPr>
            <w:tcW w:w="1060" w:type="pct"/>
            <w:noWrap/>
            <w:hideMark/>
          </w:tcPr>
          <w:p w14:paraId="06B3A09F" w14:textId="77777777" w:rsidR="00A73BCE" w:rsidRPr="008E1DC5" w:rsidRDefault="00A73BCE" w:rsidP="005F6321">
            <w:pPr>
              <w:spacing w:after="0" w:line="240" w:lineRule="auto"/>
              <w:rPr>
                <w:bCs/>
              </w:rPr>
            </w:pPr>
            <w:r w:rsidRPr="008E1DC5">
              <w:rPr>
                <w:bCs/>
              </w:rPr>
              <w:t>C00-C97</w:t>
            </w:r>
          </w:p>
        </w:tc>
        <w:tc>
          <w:tcPr>
            <w:tcW w:w="598" w:type="pct"/>
          </w:tcPr>
          <w:p w14:paraId="34259DDF" w14:textId="77777777" w:rsidR="00A73BCE" w:rsidRPr="008E1DC5" w:rsidRDefault="00A73BCE" w:rsidP="005F6321">
            <w:pPr>
              <w:spacing w:after="0" w:line="240" w:lineRule="auto"/>
              <w:rPr>
                <w:bCs/>
              </w:rPr>
            </w:pPr>
            <w:r w:rsidRPr="008E1DC5">
              <w:rPr>
                <w:bCs/>
              </w:rPr>
              <w:t>118 (4.8)</w:t>
            </w:r>
          </w:p>
        </w:tc>
        <w:tc>
          <w:tcPr>
            <w:tcW w:w="723" w:type="pct"/>
          </w:tcPr>
          <w:p w14:paraId="22265100" w14:textId="77777777" w:rsidR="00A73BCE" w:rsidRPr="008E1DC5" w:rsidRDefault="00A73BCE" w:rsidP="005F6321">
            <w:pPr>
              <w:spacing w:after="0" w:line="240" w:lineRule="auto"/>
              <w:rPr>
                <w:bCs/>
              </w:rPr>
            </w:pPr>
            <w:r w:rsidRPr="008E1DC5">
              <w:rPr>
                <w:bCs/>
              </w:rPr>
              <w:t>301 (12.4)</w:t>
            </w:r>
          </w:p>
        </w:tc>
      </w:tr>
      <w:tr w:rsidR="00A73BCE" w:rsidRPr="009E1DDE" w14:paraId="20AD3510" w14:textId="77777777" w:rsidTr="005F6321">
        <w:trPr>
          <w:trHeight w:val="300"/>
        </w:trPr>
        <w:tc>
          <w:tcPr>
            <w:tcW w:w="1875" w:type="pct"/>
            <w:noWrap/>
            <w:hideMark/>
          </w:tcPr>
          <w:p w14:paraId="5C94FE72" w14:textId="77777777" w:rsidR="00A73BCE" w:rsidRPr="008E1DC5" w:rsidRDefault="00A73BCE" w:rsidP="005F6321">
            <w:pPr>
              <w:spacing w:after="0" w:line="240" w:lineRule="auto"/>
              <w:rPr>
                <w:bCs/>
              </w:rPr>
            </w:pPr>
            <w:r w:rsidRPr="008E1DC5">
              <w:rPr>
                <w:bCs/>
              </w:rPr>
              <w:t>Diabetes</w:t>
            </w:r>
          </w:p>
        </w:tc>
        <w:tc>
          <w:tcPr>
            <w:tcW w:w="744" w:type="pct"/>
            <w:noWrap/>
            <w:hideMark/>
          </w:tcPr>
          <w:p w14:paraId="5AF2395F" w14:textId="77777777" w:rsidR="00A73BCE" w:rsidRPr="008E1DC5" w:rsidRDefault="00A73BCE" w:rsidP="005F6321">
            <w:pPr>
              <w:spacing w:after="0" w:line="240" w:lineRule="auto"/>
              <w:rPr>
                <w:bCs/>
              </w:rPr>
            </w:pPr>
            <w:r w:rsidRPr="008E1DC5">
              <w:rPr>
                <w:bCs/>
              </w:rPr>
              <w:t>249, 250</w:t>
            </w:r>
          </w:p>
        </w:tc>
        <w:tc>
          <w:tcPr>
            <w:tcW w:w="1060" w:type="pct"/>
            <w:noWrap/>
            <w:hideMark/>
          </w:tcPr>
          <w:p w14:paraId="198FE92D" w14:textId="77777777" w:rsidR="00A73BCE" w:rsidRPr="008E1DC5" w:rsidRDefault="00A73BCE" w:rsidP="005F6321">
            <w:pPr>
              <w:spacing w:after="0" w:line="240" w:lineRule="auto"/>
              <w:rPr>
                <w:bCs/>
              </w:rPr>
            </w:pPr>
            <w:r w:rsidRPr="008E1DC5">
              <w:rPr>
                <w:bCs/>
              </w:rPr>
              <w:t>E10-E14</w:t>
            </w:r>
          </w:p>
        </w:tc>
        <w:tc>
          <w:tcPr>
            <w:tcW w:w="598" w:type="pct"/>
          </w:tcPr>
          <w:p w14:paraId="40F119E5" w14:textId="77777777" w:rsidR="00A73BCE" w:rsidRPr="008E1DC5" w:rsidRDefault="00A73BCE" w:rsidP="005F6321">
            <w:pPr>
              <w:spacing w:after="0" w:line="240" w:lineRule="auto"/>
              <w:rPr>
                <w:bCs/>
              </w:rPr>
            </w:pPr>
            <w:r w:rsidRPr="008E1DC5">
              <w:rPr>
                <w:bCs/>
              </w:rPr>
              <w:t>137 (5.3)</w:t>
            </w:r>
          </w:p>
        </w:tc>
        <w:tc>
          <w:tcPr>
            <w:tcW w:w="723" w:type="pct"/>
          </w:tcPr>
          <w:p w14:paraId="7C7B4905" w14:textId="77777777" w:rsidR="00A73BCE" w:rsidRPr="008E1DC5" w:rsidRDefault="00A73BCE" w:rsidP="005F6321">
            <w:pPr>
              <w:spacing w:after="0" w:line="240" w:lineRule="auto"/>
              <w:rPr>
                <w:bCs/>
              </w:rPr>
            </w:pPr>
            <w:r w:rsidRPr="008E1DC5">
              <w:rPr>
                <w:bCs/>
              </w:rPr>
              <w:t>115 (4.4)</w:t>
            </w:r>
          </w:p>
        </w:tc>
      </w:tr>
      <w:tr w:rsidR="00A73BCE" w:rsidRPr="009E1DDE" w14:paraId="24F47AA6" w14:textId="77777777" w:rsidTr="005F6321">
        <w:trPr>
          <w:trHeight w:val="300"/>
        </w:trPr>
        <w:tc>
          <w:tcPr>
            <w:tcW w:w="1875" w:type="pct"/>
            <w:noWrap/>
            <w:hideMark/>
          </w:tcPr>
          <w:p w14:paraId="2FD95E30" w14:textId="77777777" w:rsidR="00A73BCE" w:rsidRPr="008E1DC5" w:rsidRDefault="00A73BCE" w:rsidP="005F6321">
            <w:pPr>
              <w:spacing w:after="0" w:line="240" w:lineRule="auto"/>
              <w:rPr>
                <w:bCs/>
              </w:rPr>
            </w:pPr>
            <w:r w:rsidRPr="008E1DC5">
              <w:rPr>
                <w:bCs/>
              </w:rPr>
              <w:t>Epilepsy</w:t>
            </w:r>
          </w:p>
        </w:tc>
        <w:tc>
          <w:tcPr>
            <w:tcW w:w="744" w:type="pct"/>
            <w:noWrap/>
            <w:hideMark/>
          </w:tcPr>
          <w:p w14:paraId="40FF13D4" w14:textId="77777777" w:rsidR="00A73BCE" w:rsidRPr="008E1DC5" w:rsidRDefault="00A73BCE" w:rsidP="005F6321">
            <w:pPr>
              <w:spacing w:after="0" w:line="240" w:lineRule="auto"/>
              <w:rPr>
                <w:bCs/>
              </w:rPr>
            </w:pPr>
            <w:r w:rsidRPr="008E1DC5">
              <w:rPr>
                <w:bCs/>
              </w:rPr>
              <w:t>345</w:t>
            </w:r>
          </w:p>
        </w:tc>
        <w:tc>
          <w:tcPr>
            <w:tcW w:w="1060" w:type="pct"/>
            <w:noWrap/>
            <w:hideMark/>
          </w:tcPr>
          <w:p w14:paraId="14A8954B" w14:textId="77777777" w:rsidR="00A73BCE" w:rsidRPr="008E1DC5" w:rsidRDefault="00A73BCE" w:rsidP="005F6321">
            <w:pPr>
              <w:spacing w:after="0" w:line="240" w:lineRule="auto"/>
              <w:rPr>
                <w:bCs/>
              </w:rPr>
            </w:pPr>
            <w:r w:rsidRPr="008E1DC5">
              <w:rPr>
                <w:bCs/>
              </w:rPr>
              <w:t>G40 G41</w:t>
            </w:r>
          </w:p>
        </w:tc>
        <w:tc>
          <w:tcPr>
            <w:tcW w:w="598" w:type="pct"/>
          </w:tcPr>
          <w:p w14:paraId="22741997" w14:textId="77777777" w:rsidR="00A73BCE" w:rsidRPr="008E1DC5" w:rsidRDefault="00A73BCE" w:rsidP="005F6321">
            <w:pPr>
              <w:spacing w:after="0" w:line="240" w:lineRule="auto"/>
              <w:rPr>
                <w:bCs/>
              </w:rPr>
            </w:pPr>
            <w:r w:rsidRPr="008E1DC5">
              <w:rPr>
                <w:bCs/>
              </w:rPr>
              <w:t>50 (2.2)</w:t>
            </w:r>
          </w:p>
        </w:tc>
        <w:tc>
          <w:tcPr>
            <w:tcW w:w="723" w:type="pct"/>
          </w:tcPr>
          <w:p w14:paraId="5B068A4C" w14:textId="77777777" w:rsidR="00A73BCE" w:rsidRPr="008E1DC5" w:rsidRDefault="00A73BCE" w:rsidP="005F6321">
            <w:pPr>
              <w:spacing w:after="0" w:line="240" w:lineRule="auto"/>
              <w:rPr>
                <w:bCs/>
              </w:rPr>
            </w:pPr>
            <w:r w:rsidRPr="008E1DC5">
              <w:rPr>
                <w:bCs/>
              </w:rPr>
              <w:t>37 (1.4)</w:t>
            </w:r>
          </w:p>
        </w:tc>
      </w:tr>
      <w:tr w:rsidR="00A73BCE" w:rsidRPr="009E1DDE" w14:paraId="1669429F" w14:textId="77777777" w:rsidTr="005F6321">
        <w:trPr>
          <w:trHeight w:val="300"/>
        </w:trPr>
        <w:tc>
          <w:tcPr>
            <w:tcW w:w="1875" w:type="pct"/>
            <w:noWrap/>
            <w:hideMark/>
          </w:tcPr>
          <w:p w14:paraId="52120181" w14:textId="77777777" w:rsidR="00A73BCE" w:rsidRPr="008E1DC5" w:rsidRDefault="00A73BCE" w:rsidP="005F6321">
            <w:pPr>
              <w:spacing w:after="0" w:line="240" w:lineRule="auto"/>
              <w:rPr>
                <w:bCs/>
              </w:rPr>
            </w:pPr>
            <w:r w:rsidRPr="008E1DC5">
              <w:rPr>
                <w:bCs/>
              </w:rPr>
              <w:t>High blood pressure</w:t>
            </w:r>
          </w:p>
        </w:tc>
        <w:tc>
          <w:tcPr>
            <w:tcW w:w="744" w:type="pct"/>
            <w:noWrap/>
            <w:hideMark/>
          </w:tcPr>
          <w:p w14:paraId="17D08B7B" w14:textId="77777777" w:rsidR="00A73BCE" w:rsidRPr="008E1DC5" w:rsidRDefault="00A73BCE" w:rsidP="005F6321">
            <w:pPr>
              <w:spacing w:after="0" w:line="240" w:lineRule="auto"/>
              <w:rPr>
                <w:bCs/>
              </w:rPr>
            </w:pPr>
            <w:r w:rsidRPr="008E1DC5">
              <w:rPr>
                <w:bCs/>
              </w:rPr>
              <w:t>401-405</w:t>
            </w:r>
          </w:p>
        </w:tc>
        <w:tc>
          <w:tcPr>
            <w:tcW w:w="1060" w:type="pct"/>
            <w:noWrap/>
            <w:hideMark/>
          </w:tcPr>
          <w:p w14:paraId="3683AA74" w14:textId="77777777" w:rsidR="00A73BCE" w:rsidRPr="008E1DC5" w:rsidRDefault="00A73BCE" w:rsidP="005F6321">
            <w:pPr>
              <w:spacing w:after="0" w:line="240" w:lineRule="auto"/>
              <w:rPr>
                <w:bCs/>
              </w:rPr>
            </w:pPr>
            <w:r w:rsidRPr="008E1DC5">
              <w:rPr>
                <w:bCs/>
              </w:rPr>
              <w:t>I10-I15</w:t>
            </w:r>
          </w:p>
        </w:tc>
        <w:tc>
          <w:tcPr>
            <w:tcW w:w="598" w:type="pct"/>
          </w:tcPr>
          <w:p w14:paraId="742EE387" w14:textId="77777777" w:rsidR="00A73BCE" w:rsidRPr="008E1DC5" w:rsidRDefault="00A73BCE" w:rsidP="005F6321">
            <w:pPr>
              <w:spacing w:after="0" w:line="240" w:lineRule="auto"/>
              <w:rPr>
                <w:bCs/>
              </w:rPr>
            </w:pPr>
            <w:r w:rsidRPr="008E1DC5">
              <w:rPr>
                <w:bCs/>
              </w:rPr>
              <w:t>572 (23.5)</w:t>
            </w:r>
          </w:p>
        </w:tc>
        <w:tc>
          <w:tcPr>
            <w:tcW w:w="723" w:type="pct"/>
          </w:tcPr>
          <w:p w14:paraId="45DBA582" w14:textId="77777777" w:rsidR="00A73BCE" w:rsidRPr="008E1DC5" w:rsidRDefault="00A73BCE" w:rsidP="005F6321">
            <w:pPr>
              <w:spacing w:after="0" w:line="240" w:lineRule="auto"/>
              <w:rPr>
                <w:bCs/>
              </w:rPr>
            </w:pPr>
            <w:r w:rsidRPr="008E1DC5">
              <w:rPr>
                <w:bCs/>
              </w:rPr>
              <w:t>291 (12.1)</w:t>
            </w:r>
          </w:p>
        </w:tc>
      </w:tr>
      <w:tr w:rsidR="00A73BCE" w:rsidRPr="009E1DDE" w14:paraId="16B2DC88" w14:textId="77777777" w:rsidTr="005F6321">
        <w:trPr>
          <w:trHeight w:val="300"/>
        </w:trPr>
        <w:tc>
          <w:tcPr>
            <w:tcW w:w="1875" w:type="pct"/>
            <w:noWrap/>
            <w:hideMark/>
          </w:tcPr>
          <w:p w14:paraId="5F2D91CC" w14:textId="77777777" w:rsidR="00A73BCE" w:rsidRPr="008E1DC5" w:rsidRDefault="00A73BCE" w:rsidP="005F6321">
            <w:pPr>
              <w:spacing w:after="0" w:line="240" w:lineRule="auto"/>
              <w:rPr>
                <w:bCs/>
              </w:rPr>
            </w:pPr>
            <w:r w:rsidRPr="008E1DC5">
              <w:rPr>
                <w:bCs/>
              </w:rPr>
              <w:t>Clinical depression</w:t>
            </w:r>
          </w:p>
        </w:tc>
        <w:tc>
          <w:tcPr>
            <w:tcW w:w="744" w:type="pct"/>
            <w:noWrap/>
            <w:hideMark/>
          </w:tcPr>
          <w:p w14:paraId="723F1640" w14:textId="77777777" w:rsidR="00A73BCE" w:rsidRPr="008E1DC5" w:rsidRDefault="00A73BCE" w:rsidP="005F6321">
            <w:pPr>
              <w:spacing w:after="0" w:line="240" w:lineRule="auto"/>
              <w:rPr>
                <w:bCs/>
              </w:rPr>
            </w:pPr>
            <w:r w:rsidRPr="008E1DC5">
              <w:rPr>
                <w:bCs/>
              </w:rPr>
              <w:t>296, 311, 298</w:t>
            </w:r>
          </w:p>
        </w:tc>
        <w:tc>
          <w:tcPr>
            <w:tcW w:w="1060" w:type="pct"/>
            <w:noWrap/>
            <w:hideMark/>
          </w:tcPr>
          <w:p w14:paraId="7945789A" w14:textId="77777777" w:rsidR="00A73BCE" w:rsidRPr="008E1DC5" w:rsidRDefault="00A73BCE" w:rsidP="005F6321">
            <w:pPr>
              <w:spacing w:after="0" w:line="240" w:lineRule="auto"/>
              <w:rPr>
                <w:bCs/>
              </w:rPr>
            </w:pPr>
            <w:r w:rsidRPr="008E1DC5">
              <w:rPr>
                <w:bCs/>
              </w:rPr>
              <w:t>F32 F33 F34 F38 F39</w:t>
            </w:r>
          </w:p>
        </w:tc>
        <w:tc>
          <w:tcPr>
            <w:tcW w:w="598" w:type="pct"/>
          </w:tcPr>
          <w:p w14:paraId="7930A6C0" w14:textId="77777777" w:rsidR="00A73BCE" w:rsidRPr="008E1DC5" w:rsidRDefault="00A73BCE" w:rsidP="005F6321">
            <w:pPr>
              <w:spacing w:after="0" w:line="240" w:lineRule="auto"/>
              <w:rPr>
                <w:bCs/>
              </w:rPr>
            </w:pPr>
            <w:r w:rsidRPr="008E1DC5">
              <w:rPr>
                <w:bCs/>
              </w:rPr>
              <w:t>283 (10.8)</w:t>
            </w:r>
          </w:p>
        </w:tc>
        <w:tc>
          <w:tcPr>
            <w:tcW w:w="723" w:type="pct"/>
          </w:tcPr>
          <w:p w14:paraId="5A7A08DD" w14:textId="77777777" w:rsidR="00A73BCE" w:rsidRPr="008E1DC5" w:rsidRDefault="00A73BCE" w:rsidP="005F6321">
            <w:pPr>
              <w:spacing w:after="0" w:line="240" w:lineRule="auto"/>
              <w:rPr>
                <w:bCs/>
              </w:rPr>
            </w:pPr>
            <w:r w:rsidRPr="008E1DC5">
              <w:rPr>
                <w:bCs/>
              </w:rPr>
              <w:t>52 (2.0)</w:t>
            </w:r>
          </w:p>
        </w:tc>
      </w:tr>
    </w:tbl>
    <w:p w14:paraId="66C30381" w14:textId="77777777" w:rsidR="00A73BCE" w:rsidRDefault="00A73BCE" w:rsidP="00A73BCE">
      <w:pPr>
        <w:spacing w:line="240" w:lineRule="auto"/>
        <w:rPr>
          <w:rFonts w:ascii="Arial" w:hAnsi="Arial"/>
        </w:rPr>
      </w:pPr>
    </w:p>
    <w:p w14:paraId="626A4B3F" w14:textId="77777777" w:rsidR="00A73BCE" w:rsidRDefault="00A73BCE" w:rsidP="00A73BCE">
      <w:pPr>
        <w:spacing w:line="240" w:lineRule="auto"/>
        <w:rPr>
          <w:rFonts w:ascii="Arial" w:hAnsi="Arial"/>
        </w:rPr>
      </w:pPr>
    </w:p>
    <w:p w14:paraId="22D5927F" w14:textId="77777777" w:rsidR="00A73BCE" w:rsidRDefault="00A73BCE" w:rsidP="00A73BCE">
      <w:pPr>
        <w:spacing w:after="160" w:line="259" w:lineRule="auto"/>
        <w:rPr>
          <w:b/>
        </w:rPr>
      </w:pPr>
      <w:r>
        <w:rPr>
          <w:b/>
        </w:rPr>
        <w:br w:type="page"/>
      </w:r>
    </w:p>
    <w:p w14:paraId="7661C71C" w14:textId="77777777" w:rsidR="00A73BCE" w:rsidRPr="00FB4F0E" w:rsidRDefault="00A73BCE" w:rsidP="00A73BCE">
      <w:pPr>
        <w:spacing w:line="240" w:lineRule="auto"/>
        <w:rPr>
          <w:b/>
        </w:rPr>
      </w:pPr>
      <w:r>
        <w:rPr>
          <w:b/>
        </w:rPr>
        <w:lastRenderedPageBreak/>
        <w:t xml:space="preserve">Supplementary Material 2, </w:t>
      </w:r>
      <w:r w:rsidRPr="00FB4F0E">
        <w:rPr>
          <w:b/>
        </w:rPr>
        <w:t xml:space="preserve">Figure 1. PPV of </w:t>
      </w:r>
      <w:proofErr w:type="spellStart"/>
      <w:r w:rsidRPr="00FB4F0E">
        <w:rPr>
          <w:b/>
        </w:rPr>
        <w:t>USoc</w:t>
      </w:r>
      <w:proofErr w:type="spellEnd"/>
      <w:r w:rsidRPr="00FB4F0E">
        <w:rPr>
          <w:b/>
        </w:rPr>
        <w:t xml:space="preserve"> and secondary care recording of long</w:t>
      </w:r>
      <w:r>
        <w:rPr>
          <w:b/>
        </w:rPr>
        <w:t>-</w:t>
      </w:r>
      <w:r w:rsidRPr="00FB4F0E">
        <w:rPr>
          <w:b/>
        </w:rPr>
        <w:t>term health conditions</w:t>
      </w:r>
    </w:p>
    <w:p w14:paraId="2020671F" w14:textId="77777777" w:rsidR="00A73BCE" w:rsidRDefault="00A73BCE" w:rsidP="00A73BCE">
      <w:pPr>
        <w:spacing w:line="240" w:lineRule="auto"/>
        <w:rPr>
          <w:rFonts w:ascii="Arial" w:hAnsi="Arial"/>
        </w:rPr>
      </w:pPr>
      <w:r w:rsidRPr="009E1DDE">
        <w:rPr>
          <w:rFonts w:ascii="Arial" w:hAnsi="Arial"/>
          <w:noProof/>
          <w:lang w:eastAsia="en-GB"/>
        </w:rPr>
        <w:drawing>
          <wp:inline distT="0" distB="0" distL="0" distR="0" wp14:anchorId="1F4B0DE4" wp14:editId="1D609668">
            <wp:extent cx="5731510" cy="4168140"/>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V.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4168140"/>
                    </a:xfrm>
                    <a:prstGeom prst="rect">
                      <a:avLst/>
                    </a:prstGeom>
                  </pic:spPr>
                </pic:pic>
              </a:graphicData>
            </a:graphic>
          </wp:inline>
        </w:drawing>
      </w:r>
    </w:p>
    <w:p w14:paraId="1620E41C" w14:textId="77777777" w:rsidR="00A73BCE" w:rsidRPr="009E1DDE" w:rsidRDefault="00A73BCE" w:rsidP="00A73BCE">
      <w:pPr>
        <w:spacing w:line="240" w:lineRule="auto"/>
        <w:rPr>
          <w:rFonts w:ascii="Arial" w:hAnsi="Arial"/>
        </w:rPr>
      </w:pPr>
    </w:p>
    <w:p w14:paraId="06DBC378" w14:textId="77777777" w:rsidR="00A73BCE" w:rsidRDefault="00A73BCE" w:rsidP="00A73BCE">
      <w:r>
        <w:t xml:space="preserve">Although with the caveat that the data only came from Scotland, rather than the whole of the UK, this analysis highlights that the long-term health conditions recorded in </w:t>
      </w:r>
      <w:proofErr w:type="spellStart"/>
      <w:r>
        <w:t>USoc</w:t>
      </w:r>
      <w:proofErr w:type="spellEnd"/>
      <w:r>
        <w:t xml:space="preserve"> are those which are self-defined by an individual, and managed in the community, and do not reflect the burden of long-term health conditions seen and managed in secondary care.  This would suggest that the measurement of long-term conditions in </w:t>
      </w:r>
      <w:proofErr w:type="spellStart"/>
      <w:r>
        <w:t>USoc</w:t>
      </w:r>
      <w:proofErr w:type="spellEnd"/>
      <w:r>
        <w:t xml:space="preserve"> is appropriate as the patterns seen compared with EHR data are those that would be expected.  For this evaluation, which explores multimorbidity in a primary care intervention, this analysis highlights the appropriateness of the long-term condition measure in </w:t>
      </w:r>
      <w:proofErr w:type="spellStart"/>
      <w:r>
        <w:t>USoc</w:t>
      </w:r>
      <w:proofErr w:type="spellEnd"/>
      <w:r>
        <w:t>, as primary care in where most long-term conditions in the community are managed.</w:t>
      </w:r>
    </w:p>
    <w:p w14:paraId="37E67609" w14:textId="77777777" w:rsidR="00A73BCE" w:rsidRDefault="00A73BCE" w:rsidP="00A73BCE">
      <w:pPr>
        <w:spacing w:after="160" w:line="259" w:lineRule="auto"/>
      </w:pPr>
      <w:r>
        <w:br w:type="page"/>
      </w:r>
    </w:p>
    <w:p w14:paraId="694F2431" w14:textId="77777777" w:rsidR="00767A30" w:rsidRDefault="00A73BCE"/>
    <w:sectPr w:rsidR="00767A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4FA0" w14:textId="77777777" w:rsidR="00A73BCE" w:rsidRDefault="00A73BCE" w:rsidP="00A73BCE">
      <w:pPr>
        <w:spacing w:after="0" w:line="240" w:lineRule="auto"/>
      </w:pPr>
      <w:r>
        <w:separator/>
      </w:r>
    </w:p>
  </w:endnote>
  <w:endnote w:type="continuationSeparator" w:id="0">
    <w:p w14:paraId="7F5AE8DD" w14:textId="77777777" w:rsidR="00A73BCE" w:rsidRDefault="00A73BCE" w:rsidP="00A7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30E8" w14:textId="77777777" w:rsidR="00A73BCE" w:rsidRDefault="00A73BCE" w:rsidP="00A73BCE">
      <w:pPr>
        <w:spacing w:after="0" w:line="240" w:lineRule="auto"/>
      </w:pPr>
      <w:r>
        <w:separator/>
      </w:r>
    </w:p>
  </w:footnote>
  <w:footnote w:type="continuationSeparator" w:id="0">
    <w:p w14:paraId="3EFA28EA" w14:textId="77777777" w:rsidR="00A73BCE" w:rsidRDefault="00A73BCE" w:rsidP="00A73BCE">
      <w:pPr>
        <w:spacing w:after="0" w:line="240" w:lineRule="auto"/>
      </w:pPr>
      <w:r>
        <w:continuationSeparator/>
      </w:r>
    </w:p>
  </w:footnote>
  <w:footnote w:id="1">
    <w:p w14:paraId="1D76DE90" w14:textId="77777777" w:rsidR="00A73BCE" w:rsidRDefault="00A73BCE" w:rsidP="00A73BCE">
      <w:pPr>
        <w:pStyle w:val="FootnoteText"/>
      </w:pPr>
      <w:r>
        <w:rPr>
          <w:rStyle w:val="FootnoteReference"/>
        </w:rPr>
        <w:footnoteRef/>
      </w:r>
      <w:r>
        <w:t xml:space="preserve"> in house analysis of Understanding Society linked Scottish Morbidity Records, ISER, University of Essex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CE"/>
    <w:rsid w:val="000018E3"/>
    <w:rsid w:val="00013866"/>
    <w:rsid w:val="00020D7A"/>
    <w:rsid w:val="00032005"/>
    <w:rsid w:val="00036E6F"/>
    <w:rsid w:val="00037DA5"/>
    <w:rsid w:val="000406E1"/>
    <w:rsid w:val="0008242E"/>
    <w:rsid w:val="000940B5"/>
    <w:rsid w:val="000A5A33"/>
    <w:rsid w:val="000B029F"/>
    <w:rsid w:val="000B090A"/>
    <w:rsid w:val="000B0D52"/>
    <w:rsid w:val="000B2A23"/>
    <w:rsid w:val="000B6BF9"/>
    <w:rsid w:val="000C0CBD"/>
    <w:rsid w:val="000C302C"/>
    <w:rsid w:val="000D7A5D"/>
    <w:rsid w:val="001010EF"/>
    <w:rsid w:val="00123B7A"/>
    <w:rsid w:val="00150E73"/>
    <w:rsid w:val="00153D3B"/>
    <w:rsid w:val="0016177A"/>
    <w:rsid w:val="00171979"/>
    <w:rsid w:val="00173204"/>
    <w:rsid w:val="00174898"/>
    <w:rsid w:val="001862B3"/>
    <w:rsid w:val="001865DF"/>
    <w:rsid w:val="00192438"/>
    <w:rsid w:val="001A74F7"/>
    <w:rsid w:val="001C2730"/>
    <w:rsid w:val="001C38BF"/>
    <w:rsid w:val="001D2E60"/>
    <w:rsid w:val="001E48E1"/>
    <w:rsid w:val="001E58CA"/>
    <w:rsid w:val="00232A27"/>
    <w:rsid w:val="00234C5B"/>
    <w:rsid w:val="00250737"/>
    <w:rsid w:val="00251F6A"/>
    <w:rsid w:val="002527D6"/>
    <w:rsid w:val="002549BE"/>
    <w:rsid w:val="0025625F"/>
    <w:rsid w:val="00260185"/>
    <w:rsid w:val="0026522F"/>
    <w:rsid w:val="00265E0A"/>
    <w:rsid w:val="00271852"/>
    <w:rsid w:val="00290B6E"/>
    <w:rsid w:val="002A2342"/>
    <w:rsid w:val="002B13C1"/>
    <w:rsid w:val="002E1C27"/>
    <w:rsid w:val="002F7223"/>
    <w:rsid w:val="0032313C"/>
    <w:rsid w:val="00324016"/>
    <w:rsid w:val="0032697B"/>
    <w:rsid w:val="00327A7D"/>
    <w:rsid w:val="0034099A"/>
    <w:rsid w:val="003512A6"/>
    <w:rsid w:val="00353973"/>
    <w:rsid w:val="00383A80"/>
    <w:rsid w:val="00385C90"/>
    <w:rsid w:val="00392755"/>
    <w:rsid w:val="00395565"/>
    <w:rsid w:val="003976A4"/>
    <w:rsid w:val="00397CE7"/>
    <w:rsid w:val="003C17FB"/>
    <w:rsid w:val="003C51DA"/>
    <w:rsid w:val="003C7D02"/>
    <w:rsid w:val="003D4FF6"/>
    <w:rsid w:val="003D7F90"/>
    <w:rsid w:val="003E0BE6"/>
    <w:rsid w:val="003E176C"/>
    <w:rsid w:val="003E2494"/>
    <w:rsid w:val="003E3D71"/>
    <w:rsid w:val="00414880"/>
    <w:rsid w:val="00426CF4"/>
    <w:rsid w:val="00433843"/>
    <w:rsid w:val="00437FC7"/>
    <w:rsid w:val="00440F68"/>
    <w:rsid w:val="00483B22"/>
    <w:rsid w:val="004845BB"/>
    <w:rsid w:val="004846E1"/>
    <w:rsid w:val="00485BB8"/>
    <w:rsid w:val="004A1B8A"/>
    <w:rsid w:val="004A5446"/>
    <w:rsid w:val="004A5D66"/>
    <w:rsid w:val="004C457D"/>
    <w:rsid w:val="004D3629"/>
    <w:rsid w:val="004D6274"/>
    <w:rsid w:val="004E22FE"/>
    <w:rsid w:val="00501776"/>
    <w:rsid w:val="00517548"/>
    <w:rsid w:val="00521CE1"/>
    <w:rsid w:val="005261C4"/>
    <w:rsid w:val="005473A3"/>
    <w:rsid w:val="005560F2"/>
    <w:rsid w:val="005709FD"/>
    <w:rsid w:val="00570E86"/>
    <w:rsid w:val="00575504"/>
    <w:rsid w:val="00577BE9"/>
    <w:rsid w:val="00584C7D"/>
    <w:rsid w:val="00587B5A"/>
    <w:rsid w:val="00591184"/>
    <w:rsid w:val="00594828"/>
    <w:rsid w:val="005B2F34"/>
    <w:rsid w:val="005B5DC9"/>
    <w:rsid w:val="005B7E3C"/>
    <w:rsid w:val="005C481B"/>
    <w:rsid w:val="005D0274"/>
    <w:rsid w:val="005F1F3A"/>
    <w:rsid w:val="005F46C3"/>
    <w:rsid w:val="00600026"/>
    <w:rsid w:val="00600B38"/>
    <w:rsid w:val="00615BEF"/>
    <w:rsid w:val="00616603"/>
    <w:rsid w:val="006253CE"/>
    <w:rsid w:val="006279E8"/>
    <w:rsid w:val="00641703"/>
    <w:rsid w:val="00661032"/>
    <w:rsid w:val="00676AE8"/>
    <w:rsid w:val="00680792"/>
    <w:rsid w:val="00690754"/>
    <w:rsid w:val="00691A8B"/>
    <w:rsid w:val="00691D2D"/>
    <w:rsid w:val="006A7F63"/>
    <w:rsid w:val="006B2968"/>
    <w:rsid w:val="006C7784"/>
    <w:rsid w:val="006D59EB"/>
    <w:rsid w:val="006E3EA5"/>
    <w:rsid w:val="006F1A0E"/>
    <w:rsid w:val="006F2949"/>
    <w:rsid w:val="007007B6"/>
    <w:rsid w:val="00701CB4"/>
    <w:rsid w:val="0070742A"/>
    <w:rsid w:val="00707F69"/>
    <w:rsid w:val="007204C7"/>
    <w:rsid w:val="00723F6E"/>
    <w:rsid w:val="007305AF"/>
    <w:rsid w:val="00734C70"/>
    <w:rsid w:val="007358EA"/>
    <w:rsid w:val="0074095E"/>
    <w:rsid w:val="007413AF"/>
    <w:rsid w:val="00761A65"/>
    <w:rsid w:val="007630F7"/>
    <w:rsid w:val="00766BD8"/>
    <w:rsid w:val="0077598C"/>
    <w:rsid w:val="007830D0"/>
    <w:rsid w:val="00794701"/>
    <w:rsid w:val="007A1906"/>
    <w:rsid w:val="007A36FD"/>
    <w:rsid w:val="007C1233"/>
    <w:rsid w:val="007D0BD1"/>
    <w:rsid w:val="007D4BC0"/>
    <w:rsid w:val="007E0E03"/>
    <w:rsid w:val="00805197"/>
    <w:rsid w:val="00815399"/>
    <w:rsid w:val="0082787B"/>
    <w:rsid w:val="00835ACE"/>
    <w:rsid w:val="00844A1A"/>
    <w:rsid w:val="00846B59"/>
    <w:rsid w:val="00857270"/>
    <w:rsid w:val="00867F49"/>
    <w:rsid w:val="00873B4E"/>
    <w:rsid w:val="00873D68"/>
    <w:rsid w:val="00890407"/>
    <w:rsid w:val="008C1A77"/>
    <w:rsid w:val="008C34BC"/>
    <w:rsid w:val="008C5CC2"/>
    <w:rsid w:val="008D68BB"/>
    <w:rsid w:val="009022EE"/>
    <w:rsid w:val="00905386"/>
    <w:rsid w:val="00931C68"/>
    <w:rsid w:val="00933C38"/>
    <w:rsid w:val="00936DE0"/>
    <w:rsid w:val="0093759F"/>
    <w:rsid w:val="009442AC"/>
    <w:rsid w:val="00953E57"/>
    <w:rsid w:val="0097393B"/>
    <w:rsid w:val="0097511D"/>
    <w:rsid w:val="009761DF"/>
    <w:rsid w:val="00981594"/>
    <w:rsid w:val="0098697E"/>
    <w:rsid w:val="00991A29"/>
    <w:rsid w:val="009A34F1"/>
    <w:rsid w:val="009A6B0B"/>
    <w:rsid w:val="009B2F43"/>
    <w:rsid w:val="009D2F03"/>
    <w:rsid w:val="009D6B04"/>
    <w:rsid w:val="009E1C7A"/>
    <w:rsid w:val="009E43DF"/>
    <w:rsid w:val="009E4830"/>
    <w:rsid w:val="009E6F05"/>
    <w:rsid w:val="00A0456B"/>
    <w:rsid w:val="00A133F8"/>
    <w:rsid w:val="00A231DC"/>
    <w:rsid w:val="00A26536"/>
    <w:rsid w:val="00A411D3"/>
    <w:rsid w:val="00A467FC"/>
    <w:rsid w:val="00A46D8B"/>
    <w:rsid w:val="00A47F96"/>
    <w:rsid w:val="00A50887"/>
    <w:rsid w:val="00A573A6"/>
    <w:rsid w:val="00A6204B"/>
    <w:rsid w:val="00A65264"/>
    <w:rsid w:val="00A670A5"/>
    <w:rsid w:val="00A71EFA"/>
    <w:rsid w:val="00A73BCE"/>
    <w:rsid w:val="00A7788B"/>
    <w:rsid w:val="00A81DC4"/>
    <w:rsid w:val="00A82F7E"/>
    <w:rsid w:val="00A971F4"/>
    <w:rsid w:val="00A97E58"/>
    <w:rsid w:val="00AD4344"/>
    <w:rsid w:val="00B015A3"/>
    <w:rsid w:val="00B032CB"/>
    <w:rsid w:val="00B04A97"/>
    <w:rsid w:val="00B15B00"/>
    <w:rsid w:val="00B23BBD"/>
    <w:rsid w:val="00B40A08"/>
    <w:rsid w:val="00B451AB"/>
    <w:rsid w:val="00B462C0"/>
    <w:rsid w:val="00B4690E"/>
    <w:rsid w:val="00B50F69"/>
    <w:rsid w:val="00BA0453"/>
    <w:rsid w:val="00BA37C5"/>
    <w:rsid w:val="00BB1C50"/>
    <w:rsid w:val="00BB342E"/>
    <w:rsid w:val="00BC273C"/>
    <w:rsid w:val="00BC5303"/>
    <w:rsid w:val="00BC718C"/>
    <w:rsid w:val="00BD4061"/>
    <w:rsid w:val="00BD5A11"/>
    <w:rsid w:val="00C100F8"/>
    <w:rsid w:val="00C31D58"/>
    <w:rsid w:val="00C47770"/>
    <w:rsid w:val="00C50619"/>
    <w:rsid w:val="00C53B76"/>
    <w:rsid w:val="00C53F9C"/>
    <w:rsid w:val="00C62EDC"/>
    <w:rsid w:val="00C661B6"/>
    <w:rsid w:val="00C73CC5"/>
    <w:rsid w:val="00C92C1C"/>
    <w:rsid w:val="00CA2B85"/>
    <w:rsid w:val="00CB31A5"/>
    <w:rsid w:val="00CC4B80"/>
    <w:rsid w:val="00CF4C47"/>
    <w:rsid w:val="00CF51C6"/>
    <w:rsid w:val="00D05C68"/>
    <w:rsid w:val="00D10CC6"/>
    <w:rsid w:val="00D12323"/>
    <w:rsid w:val="00D157BA"/>
    <w:rsid w:val="00D15818"/>
    <w:rsid w:val="00D30A5C"/>
    <w:rsid w:val="00D81B1E"/>
    <w:rsid w:val="00D870E9"/>
    <w:rsid w:val="00D9135D"/>
    <w:rsid w:val="00D97E97"/>
    <w:rsid w:val="00DA0838"/>
    <w:rsid w:val="00DB256A"/>
    <w:rsid w:val="00DB5AE4"/>
    <w:rsid w:val="00DC5795"/>
    <w:rsid w:val="00DC6F80"/>
    <w:rsid w:val="00DC749F"/>
    <w:rsid w:val="00DD2533"/>
    <w:rsid w:val="00DD49B8"/>
    <w:rsid w:val="00DE5E43"/>
    <w:rsid w:val="00DE741C"/>
    <w:rsid w:val="00DF408A"/>
    <w:rsid w:val="00DF5C4E"/>
    <w:rsid w:val="00DF6B9A"/>
    <w:rsid w:val="00DF6D5C"/>
    <w:rsid w:val="00E0062A"/>
    <w:rsid w:val="00E015B3"/>
    <w:rsid w:val="00E1359F"/>
    <w:rsid w:val="00E34A16"/>
    <w:rsid w:val="00E720F0"/>
    <w:rsid w:val="00E73DA8"/>
    <w:rsid w:val="00E805B6"/>
    <w:rsid w:val="00EA0B95"/>
    <w:rsid w:val="00EA1506"/>
    <w:rsid w:val="00ED4BDC"/>
    <w:rsid w:val="00ED64CB"/>
    <w:rsid w:val="00EE26A1"/>
    <w:rsid w:val="00F00C9B"/>
    <w:rsid w:val="00F04F66"/>
    <w:rsid w:val="00F20C81"/>
    <w:rsid w:val="00F20F7A"/>
    <w:rsid w:val="00F27E46"/>
    <w:rsid w:val="00F50F11"/>
    <w:rsid w:val="00F56748"/>
    <w:rsid w:val="00F63135"/>
    <w:rsid w:val="00F636EC"/>
    <w:rsid w:val="00F70441"/>
    <w:rsid w:val="00F82422"/>
    <w:rsid w:val="00F97D9E"/>
    <w:rsid w:val="00FB1E92"/>
    <w:rsid w:val="00FD3378"/>
    <w:rsid w:val="00FE3EBD"/>
    <w:rsid w:val="00FE41EE"/>
    <w:rsid w:val="00FE718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8AFF"/>
  <w15:chartTrackingRefBased/>
  <w15:docId w15:val="{53F828D3-8E76-41AE-89CC-9A95B0EC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BCE"/>
    <w:pPr>
      <w:spacing w:after="200" w:line="276" w:lineRule="auto"/>
    </w:pPr>
    <w:rPr>
      <w:rFonts w:ascii="Calibri" w:eastAsia="Calibri" w:hAnsi="Calibri"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A73BCE"/>
    <w:pPr>
      <w:spacing w:after="0" w:line="240" w:lineRule="auto"/>
    </w:pPr>
    <w:rPr>
      <w:rFonts w:ascii="Calibri" w:eastAsia="Calibri" w:hAnsi="Calibri" w:cs="Arial"/>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A73B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BCE"/>
    <w:rPr>
      <w:rFonts w:ascii="Calibri" w:eastAsia="Calibri" w:hAnsi="Calibri" w:cs="Arial"/>
      <w:sz w:val="20"/>
      <w:szCs w:val="20"/>
      <w:lang w:val="en-GB" w:eastAsia="en-US"/>
    </w:rPr>
  </w:style>
  <w:style w:type="character" w:styleId="FootnoteReference">
    <w:name w:val="footnote reference"/>
    <w:basedOn w:val="DefaultParagraphFont"/>
    <w:uiPriority w:val="99"/>
    <w:semiHidden/>
    <w:unhideWhenUsed/>
    <w:rsid w:val="00A73B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Hewitt</dc:creator>
  <cp:keywords/>
  <dc:description/>
  <cp:lastModifiedBy>Katie Hewitt</cp:lastModifiedBy>
  <cp:revision>1</cp:revision>
  <dcterms:created xsi:type="dcterms:W3CDTF">2022-02-11T15:21:00Z</dcterms:created>
  <dcterms:modified xsi:type="dcterms:W3CDTF">2022-02-11T15:27:00Z</dcterms:modified>
</cp:coreProperties>
</file>