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559" w:rsidRPr="009A0E4D" w:rsidRDefault="005966A2" w:rsidP="009A0E4D">
      <w:pPr>
        <w:rPr>
          <w:u w:val="single"/>
        </w:rPr>
      </w:pPr>
      <w:r w:rsidRPr="00DD52F4">
        <w:rPr>
          <w:u w:val="single"/>
        </w:rPr>
        <w:t>S</w:t>
      </w:r>
      <w:r w:rsidR="00DB3FAB" w:rsidRPr="00DD52F4">
        <w:rPr>
          <w:u w:val="single"/>
        </w:rPr>
        <w:t xml:space="preserve">upplementary </w:t>
      </w:r>
      <w:r w:rsidR="001F2139">
        <w:rPr>
          <w:u w:val="single"/>
        </w:rPr>
        <w:t>Material File 2</w:t>
      </w:r>
      <w:r w:rsidR="009A0E4D">
        <w:rPr>
          <w:u w:val="single"/>
        </w:rPr>
        <w:t xml:space="preserve">: </w:t>
      </w:r>
      <w:r w:rsidR="009A0E4D" w:rsidRPr="009A0E4D">
        <w:rPr>
          <w:u w:val="single"/>
        </w:rPr>
        <w:t>Instrumental variable analysis</w:t>
      </w:r>
    </w:p>
    <w:p w:rsidR="00DD52F4" w:rsidRDefault="00DD52F4" w:rsidP="00DB3FAB">
      <w:bookmarkStart w:id="0" w:name="_GoBack"/>
      <w:bookmarkEnd w:id="0"/>
    </w:p>
    <w:p w:rsidR="00DB3FAB" w:rsidRPr="003F22EC" w:rsidRDefault="00DB3FAB" w:rsidP="00DB3FAB">
      <w:r w:rsidRPr="003F22EC">
        <w:t>Instrumental variables (IV) offer an approach to address unmeasured confounding. The approach lies in the ability</w:t>
      </w:r>
      <w:r>
        <w:t xml:space="preserve"> to identify a valid instrument</w:t>
      </w:r>
      <w:r w:rsidRPr="003F22EC">
        <w:t xml:space="preserve"> that acts to assign treatment, but is unrelated to the confounders and only affects the outcomes through its direct effect on the treatment</w:t>
      </w:r>
      <w:r>
        <w:t>.</w:t>
      </w:r>
      <w:r w:rsidR="00CA361C">
        <w:t xml:space="preserve"> </w:t>
      </w:r>
      <w:r w:rsidR="00CA361C">
        <w:fldChar w:fldCharType="begin">
          <w:fldData xml:space="preserve">PEVuZE5vdGU+PENpdGU+PEF1dGhvcj5FcnRlZmFpZTwvQXV0aG9yPjxZZWFyPjIwMTc8L1llYXI+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</w:fldData>
        </w:fldChar>
      </w:r>
      <w:r w:rsidR="00CA361C">
        <w:instrText xml:space="preserve"> ADDIN EN.CITE </w:instrText>
      </w:r>
      <w:r w:rsidR="00CA361C">
        <w:fldChar w:fldCharType="begin">
          <w:fldData xml:space="preserve">PEVuZE5vdGU+PENpdGU+PEF1dGhvcj5FcnRlZmFpZTwvQXV0aG9yPjxZZWFyPjIwMTc8L1llYXI+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</w:fldData>
        </w:fldChar>
      </w:r>
      <w:r w:rsidR="00CA361C">
        <w:instrText xml:space="preserve"> ADDIN EN.CITE.DATA </w:instrText>
      </w:r>
      <w:r w:rsidR="00CA361C">
        <w:fldChar w:fldCharType="end"/>
      </w:r>
      <w:r w:rsidR="00CA361C">
        <w:fldChar w:fldCharType="separate"/>
      </w:r>
      <w:r w:rsidR="00CA361C" w:rsidRPr="00CA361C">
        <w:rPr>
          <w:noProof/>
          <w:vertAlign w:val="superscript"/>
        </w:rPr>
        <w:t>1</w:t>
      </w:r>
      <w:r w:rsidR="00CA361C">
        <w:fldChar w:fldCharType="end"/>
      </w:r>
      <w:r>
        <w:t xml:space="preserve"> </w:t>
      </w:r>
      <w:r w:rsidRPr="003F22EC">
        <w:t>Instrumental variables such as the prescribing preferences of the GP or GP practice, have been successfully used in previous studies using routinely collected primary care data</w:t>
      </w:r>
      <w:r>
        <w:t>.</w:t>
      </w:r>
      <w:r w:rsidR="00CA361C">
        <w:t xml:space="preserve"> </w:t>
      </w:r>
      <w:r w:rsidR="00CA361C">
        <w:fldChar w:fldCharType="begin">
          <w:fldData xml:space="preserve">PEVuZE5vdGU+PENpdGU+PEF1dGhvcj5Ccm9va2hhcnQ8L0F1dGhvcj48WWVhcj4yMDA2PC9ZZWFy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</w:fldData>
        </w:fldChar>
      </w:r>
      <w:r w:rsidR="00CA361C">
        <w:instrText xml:space="preserve"> ADDIN EN.CITE </w:instrText>
      </w:r>
      <w:r w:rsidR="00CA361C">
        <w:fldChar w:fldCharType="begin">
          <w:fldData xml:space="preserve">PEVuZE5vdGU+PENpdGU+PEF1dGhvcj5Ccm9va2hhcnQ8L0F1dGhvcj48WWVhcj4yMDA2PC9ZZWFy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</w:fldData>
        </w:fldChar>
      </w:r>
      <w:r w:rsidR="00CA361C">
        <w:instrText xml:space="preserve"> ADDIN EN.CITE.DATA </w:instrText>
      </w:r>
      <w:r w:rsidR="00CA361C">
        <w:fldChar w:fldCharType="end"/>
      </w:r>
      <w:r w:rsidR="00CA361C">
        <w:fldChar w:fldCharType="separate"/>
      </w:r>
      <w:r w:rsidR="00CA361C" w:rsidRPr="00CA361C">
        <w:rPr>
          <w:noProof/>
          <w:vertAlign w:val="superscript"/>
        </w:rPr>
        <w:t>2-4</w:t>
      </w:r>
      <w:r w:rsidR="00CA361C">
        <w:fldChar w:fldCharType="end"/>
      </w:r>
      <w:r>
        <w:t xml:space="preserve"> </w:t>
      </w:r>
      <w:r w:rsidRPr="003F22EC">
        <w:t>The three assumptions of IV are: relevance</w:t>
      </w:r>
      <w:r>
        <w:t xml:space="preserve"> (the IV causes a change in the treatment received)</w:t>
      </w:r>
      <w:r w:rsidRPr="003F22EC">
        <w:t>, exclusion</w:t>
      </w:r>
      <w:r>
        <w:t xml:space="preserve"> (the IV</w:t>
      </w:r>
      <w:r w:rsidRPr="00DF7E12">
        <w:t xml:space="preserve"> affects the outcome only through </w:t>
      </w:r>
      <w:r>
        <w:t>the treatment received)</w:t>
      </w:r>
      <w:r w:rsidRPr="003F22EC">
        <w:t xml:space="preserve"> and exchangeability</w:t>
      </w:r>
      <w:r>
        <w:t xml:space="preserve"> (the IV</w:t>
      </w:r>
      <w:r w:rsidRPr="00DF7E12">
        <w:t xml:space="preserve"> does not share common causes with the outcome</w:t>
      </w:r>
      <w:r>
        <w:t>).</w:t>
      </w:r>
      <w:r w:rsidR="00CA361C">
        <w:fldChar w:fldCharType="begin"/>
      </w:r>
      <w:r w:rsidR="00CA361C">
        <w:instrText xml:space="preserve"> ADDIN EN.CITE &lt;EndNote&gt;&lt;Cite&gt;&lt;Author&gt;Lousdal&lt;/Author&gt;&lt;Year&gt;2018&lt;/Year&gt;&lt;RecNum&gt;5&lt;/RecNum&gt;&lt;DisplayText&gt;&lt;style face="superscript"&gt;5&lt;/style&gt;&lt;/DisplayText&gt;&lt;record&gt;&lt;rec-number&gt;5&lt;/rec-number&gt;&lt;foreign-keys&gt;&lt;key app="EN" db-id="9vrv00tap0evrkewa2d5vst7ptz5wtrz0z0p" timestamp="1558349178"&gt;5&lt;/key&gt;&lt;/foreign-keys&gt;&lt;ref-type name="Journal Article"&gt;17&lt;/ref-type&gt;&lt;contributors&gt;&lt;authors&gt;&lt;author&gt;Lousdal, M. L.&lt;/author&gt;&lt;/authors&gt;&lt;/contributors&gt;&lt;auth-address&gt;Department of Public Health, Aarhus University, Bartholins Alle 2, 8000 Aarhus C, Denmark.0000 0001 1956 2722grid.7048.b&lt;/auth-address&gt;&lt;titles&gt;&lt;title&gt;An introduction to instrumental variable assumptions, validation and estimation&lt;/title&gt;&lt;secondary-title&gt;Emerg Themes Epidemiol&lt;/secondary-title&gt;&lt;/titles&gt;&lt;periodical&gt;&lt;full-title&gt;Emerg Themes Epidemiol&lt;/full-title&gt;&lt;/periodical&gt;&lt;pages&gt;1&lt;/pages&gt;&lt;volume&gt;15&lt;/volume&gt;&lt;edition&gt;2018/02/02&lt;/edition&gt;&lt;keywords&gt;&lt;keyword&gt;Causal inference&lt;/keyword&gt;&lt;keyword&gt;Exchangeability&lt;/keyword&gt;&lt;keyword&gt;Instrumental variable&lt;/keyword&gt;&lt;keyword&gt;Monotonicity&lt;/keyword&gt;&lt;keyword&gt;Randomization&lt;/keyword&gt;&lt;keyword&gt;Unmeasured confounding&lt;/keyword&gt;&lt;/keywords&gt;&lt;dates&gt;&lt;year&gt;2018&lt;/year&gt;&lt;/dates&gt;&lt;isbn&gt;1742-7622 (Print)&amp;#xD;1742-7622 (Linking)&lt;/isbn&gt;&lt;accession-num&gt;29387137&lt;/accession-num&gt;&lt;urls&gt;&lt;related-urls&gt;&lt;url&gt;https://www.ncbi.nlm.nih.gov/pubmed/29387137&lt;/url&gt;&lt;/related-urls&gt;&lt;/urls&gt;&lt;custom2&gt;PMC5776781&lt;/custom2&gt;&lt;electronic-resource-num&gt;10.1186/s12982-018-0069-7&lt;/electronic-resource-num&gt;&lt;/record&gt;&lt;/Cite&gt;&lt;/EndNote&gt;</w:instrText>
      </w:r>
      <w:r w:rsidR="00CA361C">
        <w:fldChar w:fldCharType="separate"/>
      </w:r>
      <w:r w:rsidR="00CA361C" w:rsidRPr="00CA361C">
        <w:rPr>
          <w:noProof/>
          <w:vertAlign w:val="superscript"/>
        </w:rPr>
        <w:t>5</w:t>
      </w:r>
      <w:r w:rsidR="00CA361C">
        <w:fldChar w:fldCharType="end"/>
      </w:r>
      <w:r>
        <w:t xml:space="preserve"> </w:t>
      </w:r>
      <w:r w:rsidRPr="003F22EC">
        <w:t>Concerns using a GP’s preference for prescribing as an IV are that the GP’s choice of treatment may well reflect other aspects of their care that will influence patient outcomes, may influence their recording of outcomes and patients who seek out particular GPs who prescribe certain treatments may have different characteristics and baseline risks of the outcomes</w:t>
      </w:r>
      <w:r w:rsidR="00CA361C">
        <w:t xml:space="preserve">. </w:t>
      </w:r>
      <w:r w:rsidR="00CA361C">
        <w:fldChar w:fldCharType="begin">
          <w:fldData xml:space="preserve">PEVuZE5vdGU+PENpdGU+PEF1dGhvcj5FcnRlZmFpZTwvQXV0aG9yPjxZZWFyPjIwMTc8L1llYXI+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</w:fldData>
        </w:fldChar>
      </w:r>
      <w:r w:rsidR="00CA361C">
        <w:instrText xml:space="preserve"> ADDIN EN.CITE </w:instrText>
      </w:r>
      <w:r w:rsidR="00CA361C">
        <w:fldChar w:fldCharType="begin">
          <w:fldData xml:space="preserve">PEVuZE5vdGU+PENpdGU+PEF1dGhvcj5FcnRlZmFpZTwvQXV0aG9yPjxZZWFyPjIwMTc8L1llYXI+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</w:fldData>
        </w:fldChar>
      </w:r>
      <w:r w:rsidR="00CA361C">
        <w:instrText xml:space="preserve"> ADDIN EN.CITE.DATA </w:instrText>
      </w:r>
      <w:r w:rsidR="00CA361C">
        <w:fldChar w:fldCharType="end"/>
      </w:r>
      <w:r w:rsidR="00CA361C">
        <w:fldChar w:fldCharType="separate"/>
      </w:r>
      <w:r w:rsidR="00CA361C" w:rsidRPr="00CA361C">
        <w:rPr>
          <w:noProof/>
          <w:vertAlign w:val="superscript"/>
        </w:rPr>
        <w:t>1</w:t>
      </w:r>
      <w:r w:rsidR="00CA361C">
        <w:fldChar w:fldCharType="end"/>
      </w:r>
      <w:r w:rsidR="009605ED">
        <w:t xml:space="preserve"> </w:t>
      </w:r>
      <w:r w:rsidRPr="003F22EC">
        <w:t>We describe the feasibility of using instrumental variables in our study here.</w:t>
      </w:r>
    </w:p>
    <w:p w:rsidR="00DB3FAB" w:rsidRDefault="00DB3FAB" w:rsidP="00DB3FAB">
      <w:pPr>
        <w:rPr>
          <w:rFonts w:ascii="Calibri" w:eastAsia="Calibri" w:hAnsi="Calibri" w:cs="Times New Roman"/>
        </w:rPr>
      </w:pPr>
    </w:p>
    <w:p w:rsidR="00DB3FAB" w:rsidRDefault="00DB3FAB" w:rsidP="00DB3FAB">
      <w:pPr>
        <w:pStyle w:val="Heading3"/>
        <w:rPr>
          <w:rFonts w:eastAsia="Calibri"/>
        </w:rPr>
      </w:pPr>
      <w:bookmarkStart w:id="1" w:name="_Toc3535686"/>
      <w:r>
        <w:rPr>
          <w:rFonts w:eastAsia="Calibri"/>
        </w:rPr>
        <w:t>Methods</w:t>
      </w:r>
      <w:bookmarkEnd w:id="1"/>
    </w:p>
    <w:p w:rsidR="00DB3FAB" w:rsidRPr="003F22EC" w:rsidRDefault="00DB3FAB" w:rsidP="00DB3FAB">
      <w:pPr>
        <w:rPr>
          <w:rFonts w:ascii="Calibri" w:eastAsia="Calibri" w:hAnsi="Calibri" w:cs="Times New Roman"/>
          <w:szCs w:val="24"/>
        </w:rPr>
      </w:pPr>
      <w:r w:rsidRPr="003F22EC">
        <w:rPr>
          <w:rFonts w:ascii="Calibri" w:eastAsia="Calibri" w:hAnsi="Calibri" w:cs="Times New Roman"/>
          <w:szCs w:val="24"/>
        </w:rPr>
        <w:t xml:space="preserve">We created </w:t>
      </w:r>
      <w:r>
        <w:rPr>
          <w:rFonts w:ascii="Calibri" w:eastAsia="Calibri" w:hAnsi="Calibri" w:cs="Times New Roman"/>
          <w:szCs w:val="24"/>
        </w:rPr>
        <w:t>three</w:t>
      </w:r>
      <w:r w:rsidRPr="003F22EC">
        <w:rPr>
          <w:rFonts w:ascii="Calibri" w:eastAsia="Calibri" w:hAnsi="Calibri" w:cs="Times New Roman"/>
          <w:szCs w:val="24"/>
        </w:rPr>
        <w:t xml:space="preserve"> potential instruments estimated as the proportion of previous patients with dementia who were prescribed a Z-drug initially on presenting with a sleep disturbance (</w:t>
      </w:r>
      <w:proofErr w:type="spellStart"/>
      <w:r w:rsidRPr="003F22EC">
        <w:rPr>
          <w:rFonts w:ascii="Calibri" w:eastAsia="Calibri" w:hAnsi="Calibri" w:cs="Times New Roman"/>
          <w:szCs w:val="24"/>
        </w:rPr>
        <w:t>i</w:t>
      </w:r>
      <w:proofErr w:type="spellEnd"/>
      <w:r w:rsidRPr="003F22EC">
        <w:rPr>
          <w:rFonts w:ascii="Calibri" w:eastAsia="Calibri" w:hAnsi="Calibri" w:cs="Times New Roman"/>
          <w:szCs w:val="24"/>
        </w:rPr>
        <w:t>) among the previous 5 eligible cases, (ii) for the previous case only, or (iii) across the whole practice.</w:t>
      </w:r>
      <w:r>
        <w:rPr>
          <w:rFonts w:ascii="Calibri" w:eastAsia="Calibri" w:hAnsi="Calibri" w:cs="Times New Roman"/>
          <w:szCs w:val="24"/>
        </w:rPr>
        <w:t xml:space="preserve"> The IV was coded as binary, such that when the proportion of patients previously prescribed Z-drugs was greater than 0.5, the IV indicated a Z-drug prescription for the current patient. </w:t>
      </w:r>
      <w:r w:rsidRPr="003F22EC">
        <w:rPr>
          <w:rFonts w:ascii="Calibri" w:eastAsia="Calibri" w:hAnsi="Calibri" w:cs="Times New Roman"/>
          <w:szCs w:val="24"/>
        </w:rPr>
        <w:t>We restricted our analysis to those patients with a dementia diagnosis presenting for the first time with either a recorded diagnosis/symptom of sleep disturbance or who were prescribed a Z-drug. We also restricted to practices with more than 5 eligible patients.</w:t>
      </w:r>
    </w:p>
    <w:p w:rsidR="00DB3FAB" w:rsidRDefault="00DB3FAB" w:rsidP="00DB3FAB">
      <w:pPr>
        <w:rPr>
          <w:szCs w:val="24"/>
        </w:rPr>
      </w:pPr>
      <w:r w:rsidRPr="003F22EC">
        <w:rPr>
          <w:szCs w:val="24"/>
        </w:rPr>
        <w:t xml:space="preserve">We investigated the validity of </w:t>
      </w:r>
      <w:r w:rsidRPr="0082462C">
        <w:rPr>
          <w:szCs w:val="24"/>
        </w:rPr>
        <w:t>the relevance assumption</w:t>
      </w:r>
      <w:r w:rsidRPr="003F22EC">
        <w:rPr>
          <w:szCs w:val="24"/>
        </w:rPr>
        <w:t xml:space="preserve">, by testing the strength of association </w:t>
      </w:r>
      <w:r>
        <w:rPr>
          <w:szCs w:val="24"/>
        </w:rPr>
        <w:t>between</w:t>
      </w:r>
      <w:r w:rsidRPr="003F22EC">
        <w:rPr>
          <w:szCs w:val="24"/>
        </w:rPr>
        <w:t xml:space="preserve"> prior </w:t>
      </w:r>
      <w:r>
        <w:rPr>
          <w:szCs w:val="24"/>
        </w:rPr>
        <w:t xml:space="preserve">Z-drug </w:t>
      </w:r>
      <w:r w:rsidRPr="003F22EC">
        <w:rPr>
          <w:szCs w:val="24"/>
        </w:rPr>
        <w:t xml:space="preserve">prescriptions </w:t>
      </w:r>
      <w:r>
        <w:rPr>
          <w:szCs w:val="24"/>
        </w:rPr>
        <w:t>and</w:t>
      </w:r>
      <w:r w:rsidRPr="003F22EC">
        <w:rPr>
          <w:szCs w:val="24"/>
        </w:rPr>
        <w:t xml:space="preserve"> the actual</w:t>
      </w:r>
      <w:r>
        <w:rPr>
          <w:szCs w:val="24"/>
        </w:rPr>
        <w:t xml:space="preserve"> Z-drug</w:t>
      </w:r>
      <w:r w:rsidRPr="003F22EC">
        <w:rPr>
          <w:szCs w:val="24"/>
        </w:rPr>
        <w:t xml:space="preserve"> prescription using a partial F-test</w:t>
      </w:r>
      <w:r>
        <w:rPr>
          <w:szCs w:val="24"/>
        </w:rPr>
        <w:t>,</w:t>
      </w:r>
      <w:r w:rsidRPr="003F22EC">
        <w:rPr>
          <w:szCs w:val="24"/>
        </w:rPr>
        <w:t xml:space="preserve"> from a regression of the actual prescription on </w:t>
      </w:r>
      <w:r>
        <w:rPr>
          <w:szCs w:val="24"/>
        </w:rPr>
        <w:t>the IV</w:t>
      </w:r>
      <w:r w:rsidRPr="003F22EC">
        <w:rPr>
          <w:szCs w:val="24"/>
        </w:rPr>
        <w:t xml:space="preserve"> adjusted for </w:t>
      </w:r>
      <w:r>
        <w:rPr>
          <w:szCs w:val="24"/>
        </w:rPr>
        <w:t>covariates</w:t>
      </w:r>
      <w:r w:rsidRPr="003F22EC">
        <w:rPr>
          <w:szCs w:val="24"/>
        </w:rPr>
        <w:t xml:space="preserve">. </w:t>
      </w:r>
      <w:r>
        <w:rPr>
          <w:szCs w:val="24"/>
        </w:rPr>
        <w:t xml:space="preserve">A partial F-statistic test of less than 10 indicates an insufficient association between the IV and actual treatment assignment. </w:t>
      </w:r>
      <w:r w:rsidR="009605ED">
        <w:rPr>
          <w:szCs w:val="24"/>
        </w:rPr>
        <w:fldChar w:fldCharType="begin"/>
      </w:r>
      <w:r w:rsidR="009605ED">
        <w:rPr>
          <w:szCs w:val="24"/>
        </w:rPr>
        <w:instrText xml:space="preserve"> ADDIN EN.CITE &lt;EndNote&gt;&lt;Cite&gt;&lt;Author&gt;Stock&lt;/Author&gt;&lt;Year&gt;2002&lt;/Year&gt;&lt;RecNum&gt;6&lt;/RecNum&gt;&lt;DisplayText&gt;&lt;style face="superscript"&gt;6&lt;/style&gt;&lt;/DisplayText&gt;&lt;record&gt;&lt;rec-number&gt;6&lt;/rec-number&gt;&lt;foreign-keys&gt;&lt;key app="EN" db-id="9vrv00tap0evrkewa2d5vst7ptz5wtrz0z0p" timestamp="1558350095"&gt;6&lt;/key&gt;&lt;/foreign-keys&gt;&lt;ref-type name="Journal Article"&gt;17&lt;/ref-type&gt;&lt;contributors&gt;&lt;authors&gt;&lt;author&gt;Stock, J. H.&lt;/author&gt;&lt;author&gt;Wright, J. H.&lt;/author&gt;&lt;author&gt;Yogo, M.&lt;/author&gt;&lt;/authors&gt;&lt;/contributors&gt;&lt;auth-address&gt;Harvard Univ, Cambridge, MA 02138 USA&amp;#xD;Natl Bur Econ Res, Cambridge, MA 02138 USA&amp;#xD;Fed Reserve Board, Washington, DC 20551 USA&lt;/auth-address&gt;&lt;titles&gt;&lt;title&gt;A survey of weak instruments and weak identification in generalized method of moments&lt;/title&gt;&lt;secondary-title&gt;Journal of Business &amp;amp; Economic Statistics&lt;/secondary-title&gt;&lt;alt-title&gt;J Bus Econ Stat&lt;/alt-title&gt;&lt;/titles&gt;&lt;periodical&gt;&lt;full-title&gt;Journal of Business &amp;amp; Economic Statistics&lt;/full-title&gt;&lt;abbr-1&gt;J Bus Econ Stat&lt;/abbr-1&gt;&lt;/periodical&gt;&lt;alt-periodical&gt;&lt;full-title&gt;Journal of Business &amp;amp; Economic Statistics&lt;/full-title&gt;&lt;abbr-1&gt;J Bus Econ Stat&lt;/abbr-1&gt;&lt;/alt-periodical&gt;&lt;pages&gt;518-529&lt;/pages&gt;&lt;volume&gt;20&lt;/volume&gt;&lt;number&gt;4&lt;/number&gt;&lt;keywords&gt;&lt;keyword&gt;instrument relevance&lt;/keyword&gt;&lt;keyword&gt;instrumental variables&lt;/keyword&gt;&lt;keyword&gt;similar tests&lt;/keyword&gt;&lt;keyword&gt;finite-sample properties&lt;/keyword&gt;&lt;keyword&gt;asset pricing-models&lt;/keyword&gt;&lt;keyword&gt;variables estimation&lt;/keyword&gt;&lt;keyword&gt;intertemporal substitution&lt;/keyword&gt;&lt;keyword&gt;structural parameters&lt;/keyword&gt;&lt;keyword&gt;iv estimators&lt;/keyword&gt;&lt;keyword&gt;risk-aversion&lt;/keyword&gt;&lt;keyword&gt;consumption&lt;/keyword&gt;&lt;keyword&gt;tests&lt;/keyword&gt;&lt;keyword&gt;gmm&lt;/keyword&gt;&lt;/keywords&gt;&lt;dates&gt;&lt;year&gt;2002&lt;/year&gt;&lt;pub-dates&gt;&lt;date&gt;Oct&lt;/date&gt;&lt;/pub-dates&gt;&lt;/dates&gt;&lt;isbn&gt;0735-0015&lt;/isbn&gt;&lt;accession-num&gt;WOS:000182731800010&lt;/accession-num&gt;&lt;urls&gt;&lt;related-urls&gt;&lt;url&gt;&amp;lt;Go to ISI&amp;gt;://WOS:000182731800010&lt;/url&gt;&lt;/related-urls&gt;&lt;/urls&gt;&lt;electronic-resource-num&gt;10.1198/073500102288618658&lt;/electronic-resource-num&gt;&lt;language&gt;English&lt;/language&gt;&lt;/record&gt;&lt;/Cite&gt;&lt;/EndNote&gt;</w:instrText>
      </w:r>
      <w:r w:rsidR="009605ED">
        <w:rPr>
          <w:szCs w:val="24"/>
        </w:rPr>
        <w:fldChar w:fldCharType="separate"/>
      </w:r>
      <w:r w:rsidR="009605ED" w:rsidRPr="009605ED">
        <w:rPr>
          <w:noProof/>
          <w:szCs w:val="24"/>
          <w:vertAlign w:val="superscript"/>
        </w:rPr>
        <w:t>6</w:t>
      </w:r>
      <w:r w:rsidR="009605ED">
        <w:rPr>
          <w:szCs w:val="24"/>
        </w:rPr>
        <w:fldChar w:fldCharType="end"/>
      </w:r>
      <w:r>
        <w:rPr>
          <w:szCs w:val="24"/>
        </w:rPr>
        <w:t xml:space="preserve"> As other indicators of weak instruments, we estimated the proportion of compliers (i.e. the proportion of patients whose prescription of a Z-drug is dependent on the type of GP), and </w:t>
      </w:r>
      <w:r>
        <w:t>the partial r</w:t>
      </w:r>
      <w:r w:rsidRPr="00DC2D25">
        <w:rPr>
          <w:vertAlign w:val="superscript"/>
        </w:rPr>
        <w:t>2</w:t>
      </w:r>
      <w:r>
        <w:t xml:space="preserve"> when adding the IV to a regression model of treatment assignment that includes the covariates. The e</w:t>
      </w:r>
      <w:r>
        <w:rPr>
          <w:szCs w:val="24"/>
        </w:rPr>
        <w:t xml:space="preserve">xchangeability assumption was tested by examining covariate balance across the IV. We estimated standardized differences in covariates across the IV and considered values above 0.2 to indicate imbalance. </w:t>
      </w:r>
      <w:r w:rsidR="009605ED">
        <w:rPr>
          <w:szCs w:val="24"/>
        </w:rPr>
        <w:fldChar w:fldCharType="begin"/>
      </w:r>
      <w:r w:rsidR="009605ED">
        <w:rPr>
          <w:szCs w:val="24"/>
        </w:rPr>
        <w:instrText xml:space="preserve"> ADDIN EN.CITE &lt;EndNote&gt;&lt;Cite&gt;&lt;Author&gt;Austin&lt;/Author&gt;&lt;Year&gt;2009&lt;/Year&gt;&lt;RecNum&gt;7&lt;/RecNum&gt;&lt;DisplayText&gt;&lt;style face="superscript"&gt;7&lt;/style&gt;&lt;/DisplayText&gt;&lt;record&gt;&lt;rec-number&gt;7&lt;/rec-number&gt;&lt;foreign-keys&gt;&lt;key app="EN" db-id="9vrv00tap0evrkewa2d5vst7ptz5wtrz0z0p" timestamp="1558351546"&gt;7&lt;/key&gt;&lt;/foreign-keys&gt;&lt;ref-type name="Journal Article"&gt;17&lt;/ref-type&gt;&lt;contributors&gt;&lt;authors&gt;&lt;author&gt;Austin, P. C.&lt;/author&gt;&lt;/authors&gt;&lt;/contributors&gt;&lt;auth-address&gt;Inst Clin Evaluat Sci, Toronto, ON M4N 3M5, Canada&lt;/auth-address&gt;&lt;titles&gt;&lt;title&gt;Using the Standardized Difference to Compare the Prevalence of a Binary Variable Between Two Groups in Observational Research&lt;/title&gt;&lt;secondary-title&gt;Communications in Statistics-Simulation and Computation&lt;/secondary-title&gt;&lt;alt-title&gt;Commun Stat-Simul C&lt;/alt-title&gt;&lt;/titles&gt;&lt;periodical&gt;&lt;full-title&gt;Communications in Statistics-Simulation and Computation&lt;/full-title&gt;&lt;abbr-1&gt;Commun Stat-Simul C&lt;/abbr-1&gt;&lt;/periodical&gt;&lt;alt-periodical&gt;&lt;full-title&gt;Communications in Statistics-Simulation and Computation&lt;/full-title&gt;&lt;abbr-1&gt;Commun Stat-Simul C&lt;/abbr-1&gt;&lt;/alt-periodical&gt;&lt;pages&gt;1228-1234&lt;/pages&gt;&lt;volume&gt;38&lt;/volume&gt;&lt;number&gt;6&lt;/number&gt;&lt;keywords&gt;&lt;keyword&gt;balance&lt;/keyword&gt;&lt;keyword&gt;correlation&lt;/keyword&gt;&lt;keyword&gt;matching&lt;/keyword&gt;&lt;keyword&gt;observational study&lt;/keyword&gt;&lt;keyword&gt;propensity-score matching&lt;/keyword&gt;&lt;keyword&gt;standardized difference&lt;/keyword&gt;&lt;keyword&gt;propensity-score&lt;/keyword&gt;&lt;/keywords&gt;&lt;dates&gt;&lt;year&gt;2009&lt;/year&gt;&lt;/dates&gt;&lt;isbn&gt;0361-0918&lt;/isbn&gt;&lt;accession-num&gt;WOS:000265291900006&lt;/accession-num&gt;&lt;urls&gt;&lt;related-urls&gt;&lt;url&gt;&amp;lt;Go to ISI&amp;gt;://WOS:000265291900006&lt;/url&gt;&lt;/related-urls&gt;&lt;/urls&gt;&lt;electronic-resource-num&gt;Pii 910355371&amp;#xD;10.1080/03610910902859574&lt;/electronic-resource-num&gt;&lt;language&gt;English&lt;/language&gt;&lt;/record&gt;&lt;/Cite&gt;&lt;/EndNote&gt;</w:instrText>
      </w:r>
      <w:r w:rsidR="009605ED">
        <w:rPr>
          <w:szCs w:val="24"/>
        </w:rPr>
        <w:fldChar w:fldCharType="separate"/>
      </w:r>
      <w:r w:rsidR="009605ED" w:rsidRPr="009605ED">
        <w:rPr>
          <w:noProof/>
          <w:szCs w:val="24"/>
          <w:vertAlign w:val="superscript"/>
        </w:rPr>
        <w:t>7</w:t>
      </w:r>
      <w:r w:rsidR="009605ED">
        <w:rPr>
          <w:szCs w:val="24"/>
        </w:rPr>
        <w:fldChar w:fldCharType="end"/>
      </w:r>
      <w:r>
        <w:rPr>
          <w:szCs w:val="24"/>
        </w:rPr>
        <w:t xml:space="preserve"> We also estimated the bias ratio, as the ratio of the mean difference in covariates across the IV divided by the proportion of compliers, to the mean difference in covariates across actual treatment assignment. Bias ratios less than 1 indicate that the IV has resulted in greater covariate bal</w:t>
      </w:r>
      <w:r w:rsidR="009605ED">
        <w:rPr>
          <w:szCs w:val="24"/>
        </w:rPr>
        <w:t>ance than in the main analysis.</w:t>
      </w:r>
      <w:r w:rsidR="009605ED">
        <w:rPr>
          <w:szCs w:val="24"/>
        </w:rPr>
        <w:fldChar w:fldCharType="begin"/>
      </w:r>
      <w:r w:rsidR="009605ED">
        <w:rPr>
          <w:szCs w:val="24"/>
        </w:rPr>
        <w:instrText xml:space="preserve"> ADDIN EN.CITE &lt;EndNote&gt;&lt;Cite&gt;&lt;Author&gt;Baiocchi&lt;/Author&gt;&lt;Year&gt;2014&lt;/Year&gt;&lt;RecNum&gt;8&lt;/RecNum&gt;&lt;DisplayText&gt;&lt;style face="superscript"&gt;8&lt;/style&gt;&lt;/DisplayText&gt;&lt;record&gt;&lt;rec-number&gt;8&lt;/rec-number&gt;&lt;foreign-keys&gt;&lt;key app="EN" db-id="9vrv00tap0evrkewa2d5vst7ptz5wtrz0z0p" timestamp="1558351590"&gt;8&lt;/key&gt;&lt;/foreign-keys&gt;&lt;ref-type name="Journal Article"&gt;17&lt;/ref-type&gt;&lt;contributors&gt;&lt;authors&gt;&lt;author&gt;Baiocchi, M.&lt;/author&gt;&lt;author&gt;Cheng, J.&lt;/author&gt;&lt;author&gt;Small, D.&lt;/author&gt;&lt;/authors&gt;&lt;/contributors&gt;&lt;auth-address&gt;Stanford Univ, Sch Med, Dept Med, Stanford Prevent Res Ctr, Stanford, CA 94305 USA&amp;#xD;Univ Calif San Francisco, Sch Dent, Div Oral Epidemiol &amp;amp; Dent Publ Hlth, San Francisco, CA 94143 USA&amp;#xD;Univ Penn, Wharton Sch, Dept Stat, Philadelphia, PA 19104 USA&lt;/auth-address&gt;&lt;titles&gt;&lt;title&gt;Instrumental variable methods for causal inference (vol 33, pg 2297, 2014)&lt;/title&gt;&lt;secondary-title&gt;Statistics in Medicine&lt;/secondary-title&gt;&lt;alt-title&gt;Stat Med&lt;/alt-title&gt;&lt;/titles&gt;&lt;periodical&gt;&lt;full-title&gt;Statistics in Medicine&lt;/full-title&gt;&lt;abbr-1&gt;Stat Med&lt;/abbr-1&gt;&lt;/periodical&gt;&lt;alt-periodical&gt;&lt;full-title&gt;Statistics in Medicine&lt;/full-title&gt;&lt;abbr-1&gt;Stat Med&lt;/abbr-1&gt;&lt;/alt-periodical&gt;&lt;pages&gt;4859-4860&lt;/pages&gt;&lt;volume&gt;33&lt;/volume&gt;&lt;number&gt;27&lt;/number&gt;&lt;dates&gt;&lt;year&gt;2014&lt;/year&gt;&lt;pub-dates&gt;&lt;date&gt;Nov 30&lt;/date&gt;&lt;/pub-dates&gt;&lt;/dates&gt;&lt;isbn&gt;0277-6715&lt;/isbn&gt;&lt;accession-num&gt;WOS:000344626000014&lt;/accession-num&gt;&lt;urls&gt;&lt;related-urls&gt;&lt;url&gt;&amp;lt;Go to ISI&amp;gt;://WOS:000344626000014&lt;/url&gt;&lt;/related-urls&gt;&lt;/urls&gt;&lt;electronic-resource-num&gt;10.1002/sim.6254&lt;/electronic-resource-num&gt;&lt;language&gt;English&lt;/language&gt;&lt;/record&gt;&lt;/Cite&gt;&lt;/EndNote&gt;</w:instrText>
      </w:r>
      <w:r w:rsidR="009605ED">
        <w:rPr>
          <w:szCs w:val="24"/>
        </w:rPr>
        <w:fldChar w:fldCharType="separate"/>
      </w:r>
      <w:r w:rsidR="009605ED" w:rsidRPr="009605ED">
        <w:rPr>
          <w:noProof/>
          <w:szCs w:val="24"/>
          <w:vertAlign w:val="superscript"/>
        </w:rPr>
        <w:t>8</w:t>
      </w:r>
      <w:r w:rsidR="009605ED">
        <w:rPr>
          <w:szCs w:val="24"/>
        </w:rPr>
        <w:fldChar w:fldCharType="end"/>
      </w:r>
    </w:p>
    <w:p w:rsidR="00DB3FAB" w:rsidRDefault="00DB3FAB" w:rsidP="00DB3FAB">
      <w:pPr>
        <w:pStyle w:val="Heading3"/>
      </w:pPr>
      <w:bookmarkStart w:id="2" w:name="_Toc3535687"/>
      <w:r>
        <w:t>Results</w:t>
      </w:r>
      <w:bookmarkEnd w:id="2"/>
    </w:p>
    <w:p w:rsidR="00DB3FAB" w:rsidRDefault="00DB3FAB" w:rsidP="00DB3FAB">
      <w:pPr>
        <w:pStyle w:val="Heading5"/>
      </w:pPr>
      <w:r>
        <w:t>IV strength</w:t>
      </w:r>
    </w:p>
    <w:p w:rsidR="00DB3FAB" w:rsidRDefault="00DB3FAB" w:rsidP="00DB3FAB">
      <w:r w:rsidRPr="00D04C31">
        <w:t xml:space="preserve">A Z-drug prescription was </w:t>
      </w:r>
      <w:r>
        <w:t xml:space="preserve">predicted by the IV </w:t>
      </w:r>
      <w:r w:rsidRPr="00D04C31">
        <w:t xml:space="preserve">for </w:t>
      </w:r>
      <w:r>
        <w:t>3,050, 3,405 and 3,203</w:t>
      </w:r>
      <w:r w:rsidRPr="00D04C31">
        <w:t xml:space="preserve"> patients when examining the </w:t>
      </w:r>
      <w:r>
        <w:t xml:space="preserve">Z-drug prescription of the </w:t>
      </w:r>
      <w:r w:rsidRPr="00D04C31">
        <w:t>previous case only</w:t>
      </w:r>
      <w:r>
        <w:t>,</w:t>
      </w:r>
      <w:r w:rsidRPr="00D04C31">
        <w:t xml:space="preserve"> the previous 5 eligible cases, and across the whole practice, respectively.</w:t>
      </w:r>
      <w:r>
        <w:t xml:space="preserve"> Of these patients, 2,128 (70%), 2,316 (68%) and 2,360 (74%) went on to be </w:t>
      </w:r>
      <w:r>
        <w:lastRenderedPageBreak/>
        <w:t>prescribed a Z-drug (</w:t>
      </w:r>
      <w:r>
        <w:fldChar w:fldCharType="begin"/>
      </w:r>
      <w:r>
        <w:instrText xml:space="preserve"> REF _Ref527114544 \h </w:instrText>
      </w:r>
      <w:r>
        <w:fldChar w:fldCharType="separate"/>
      </w:r>
      <w:r w:rsidR="00C97829">
        <w:t xml:space="preserve">Table </w:t>
      </w:r>
      <w:r w:rsidR="00C97829">
        <w:rPr>
          <w:noProof/>
        </w:rPr>
        <w:t>1</w:t>
      </w:r>
      <w:r>
        <w:fldChar w:fldCharType="end"/>
      </w:r>
      <w:r>
        <w:t>)</w:t>
      </w:r>
      <w:r w:rsidRPr="00D04C31">
        <w:t>.</w:t>
      </w:r>
      <w:r>
        <w:t xml:space="preserve"> The proportion of compliers for each IV was estimated as 27%, 33% and 46%. The difference in partial r</w:t>
      </w:r>
      <w:r w:rsidRPr="00834EE9">
        <w:rPr>
          <w:vertAlign w:val="superscript"/>
        </w:rPr>
        <w:t>2</w:t>
      </w:r>
      <w:r>
        <w:t xml:space="preserve"> after adding the IVs to the first-stage model for treatment including the confounders, was 3%, 4% and 10%, respectively. The F-statistic from the regression models were 8%, 9% and 15%.  Hence the variables of the Z-drug prescription of the previous case and average of the </w:t>
      </w:r>
      <w:r w:rsidRPr="00D04C31">
        <w:t>previous 5 eligible cases</w:t>
      </w:r>
      <w:r>
        <w:t xml:space="preserve"> were not considered sufficient strong to act as IVs.</w:t>
      </w:r>
      <w:r w:rsidRPr="00D04C31">
        <w:t xml:space="preserve"> </w:t>
      </w:r>
      <w:r>
        <w:t xml:space="preserve">The IV based on the average proportion of Z-drugs </w:t>
      </w:r>
      <w:r w:rsidRPr="00D04C31">
        <w:t>across the whole practice</w:t>
      </w:r>
      <w:r>
        <w:t xml:space="preserve"> was considered sufficiently strong to satisfy the first assumption of relevance and was explored further. </w:t>
      </w:r>
    </w:p>
    <w:p w:rsidR="00DB3FAB" w:rsidRDefault="00DB3FAB" w:rsidP="00DB3FAB">
      <w:pPr>
        <w:spacing w:line="480" w:lineRule="auto"/>
      </w:pPr>
    </w:p>
    <w:p w:rsidR="00DB3FAB" w:rsidRDefault="00DB3FAB" w:rsidP="00DB3FAB">
      <w:pPr>
        <w:rPr>
          <w:i/>
          <w:iCs/>
          <w:szCs w:val="18"/>
        </w:rPr>
      </w:pPr>
      <w:bookmarkStart w:id="3" w:name="_Ref522531885"/>
      <w:r>
        <w:br w:type="page"/>
      </w:r>
    </w:p>
    <w:p w:rsidR="00DB3FAB" w:rsidRDefault="00DB3FAB" w:rsidP="00DB3FAB">
      <w:pPr>
        <w:pStyle w:val="Caption"/>
        <w:spacing w:line="480" w:lineRule="auto"/>
        <w:rPr>
          <w:i w:val="0"/>
        </w:rPr>
      </w:pPr>
      <w:bookmarkStart w:id="4" w:name="_Ref527114544"/>
      <w:bookmarkStart w:id="5" w:name="_Toc8307122"/>
      <w:bookmarkStart w:id="6" w:name="_Toc9244286"/>
      <w:r>
        <w:lastRenderedPageBreak/>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3"/>
      <w:bookmarkEnd w:id="4"/>
      <w:r>
        <w:t xml:space="preserve">. </w:t>
      </w:r>
      <w:r>
        <w:rPr>
          <w:i w:val="0"/>
        </w:rPr>
        <w:t>Statistical c</w:t>
      </w:r>
      <w:r w:rsidRPr="00B1304F">
        <w:rPr>
          <w:i w:val="0"/>
        </w:rPr>
        <w:t>haracteristics</w:t>
      </w:r>
      <w:r>
        <w:rPr>
          <w:i w:val="0"/>
        </w:rPr>
        <w:t xml:space="preserve"> of the instrumental variables based on the GP practice’s prescribing preferences</w:t>
      </w:r>
      <w:bookmarkEnd w:id="5"/>
      <w:bookmarkEnd w:id="6"/>
    </w:p>
    <w:tbl>
      <w:tblPr>
        <w:tblW w:w="8222" w:type="dxa"/>
        <w:tblInd w:w="108" w:type="dxa"/>
        <w:tblLook w:val="04A0" w:firstRow="1" w:lastRow="0" w:firstColumn="1" w:lastColumn="0" w:noHBand="0" w:noVBand="1"/>
      </w:tblPr>
      <w:tblGrid>
        <w:gridCol w:w="2977"/>
        <w:gridCol w:w="1559"/>
        <w:gridCol w:w="1985"/>
        <w:gridCol w:w="1701"/>
      </w:tblGrid>
      <w:tr w:rsidR="00DB3FAB" w:rsidRPr="00D32AC2" w:rsidTr="005966A2">
        <w:trPr>
          <w:trHeight w:val="300"/>
        </w:trPr>
        <w:tc>
          <w:tcPr>
            <w:tcW w:w="2977" w:type="dxa"/>
            <w:tcBorders>
              <w:top w:val="single" w:sz="4" w:space="0" w:color="auto"/>
              <w:left w:val="nil"/>
              <w:bottom w:val="nil"/>
              <w:right w:val="nil"/>
            </w:tcBorders>
            <w:shd w:val="clear" w:color="auto" w:fill="auto"/>
            <w:noWrap/>
            <w:vAlign w:val="bottom"/>
            <w:hideMark/>
          </w:tcPr>
          <w:p w:rsidR="00DB3FAB" w:rsidRPr="00D32AC2" w:rsidRDefault="00DB3FAB" w:rsidP="005966A2">
            <w:pPr>
              <w:spacing w:after="0" w:line="480" w:lineRule="auto"/>
              <w:rPr>
                <w:rFonts w:ascii="Times New Roman" w:eastAsia="Times New Roman" w:hAnsi="Times New Roman" w:cs="Times New Roman"/>
                <w:szCs w:val="24"/>
                <w:lang w:eastAsia="en-GB"/>
              </w:rPr>
            </w:pPr>
          </w:p>
        </w:tc>
        <w:tc>
          <w:tcPr>
            <w:tcW w:w="5245" w:type="dxa"/>
            <w:gridSpan w:val="3"/>
            <w:tcBorders>
              <w:top w:val="single" w:sz="4" w:space="0" w:color="auto"/>
              <w:left w:val="nil"/>
              <w:bottom w:val="single" w:sz="4" w:space="0" w:color="auto"/>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I</w:t>
            </w:r>
            <w:r>
              <w:rPr>
                <w:rFonts w:ascii="Calibri" w:eastAsia="Times New Roman" w:hAnsi="Calibri" w:cs="Calibri"/>
                <w:color w:val="000000"/>
                <w:szCs w:val="24"/>
                <w:lang w:eastAsia="en-GB"/>
              </w:rPr>
              <w:t>nstrumental variable (number of GP practice patients used to estimate next Z-drug</w:t>
            </w:r>
            <w:r w:rsidRPr="00D32AC2">
              <w:rPr>
                <w:rFonts w:ascii="Calibri" w:eastAsia="Times New Roman" w:hAnsi="Calibri" w:cs="Calibri"/>
                <w:color w:val="000000"/>
                <w:szCs w:val="24"/>
                <w:lang w:eastAsia="en-GB"/>
              </w:rPr>
              <w:t xml:space="preserve"> prescription</w:t>
            </w:r>
            <w:r>
              <w:rPr>
                <w:rFonts w:ascii="Calibri" w:eastAsia="Times New Roman" w:hAnsi="Calibri" w:cs="Calibri"/>
                <w:color w:val="000000"/>
                <w:szCs w:val="24"/>
                <w:lang w:eastAsia="en-GB"/>
              </w:rPr>
              <w:t>)</w:t>
            </w:r>
          </w:p>
        </w:tc>
      </w:tr>
      <w:tr w:rsidR="00DB3FAB" w:rsidRPr="00D32AC2" w:rsidTr="005966A2">
        <w:trPr>
          <w:trHeight w:val="300"/>
        </w:trPr>
        <w:tc>
          <w:tcPr>
            <w:tcW w:w="2977" w:type="dxa"/>
            <w:tcBorders>
              <w:top w:val="nil"/>
              <w:left w:val="nil"/>
              <w:bottom w:val="single" w:sz="4" w:space="0" w:color="auto"/>
              <w:right w:val="nil"/>
            </w:tcBorders>
            <w:shd w:val="clear" w:color="auto" w:fill="auto"/>
            <w:noWrap/>
            <w:vAlign w:val="bottom"/>
            <w:hideMark/>
          </w:tcPr>
          <w:p w:rsidR="00DB3FAB" w:rsidRPr="00D32AC2" w:rsidRDefault="00DB3FAB" w:rsidP="005966A2">
            <w:pPr>
              <w:spacing w:after="0" w:line="480" w:lineRule="auto"/>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 </w:t>
            </w:r>
          </w:p>
        </w:tc>
        <w:tc>
          <w:tcPr>
            <w:tcW w:w="1559" w:type="dxa"/>
            <w:tcBorders>
              <w:top w:val="single" w:sz="4" w:space="0" w:color="auto"/>
              <w:left w:val="nil"/>
              <w:bottom w:val="single" w:sz="4" w:space="0" w:color="auto"/>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Last patient</w:t>
            </w:r>
          </w:p>
        </w:tc>
        <w:tc>
          <w:tcPr>
            <w:tcW w:w="1985" w:type="dxa"/>
            <w:tcBorders>
              <w:top w:val="single" w:sz="4" w:space="0" w:color="auto"/>
              <w:left w:val="nil"/>
              <w:bottom w:val="single" w:sz="4" w:space="0" w:color="auto"/>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Last 5 patients</w:t>
            </w:r>
          </w:p>
        </w:tc>
        <w:tc>
          <w:tcPr>
            <w:tcW w:w="1701" w:type="dxa"/>
            <w:tcBorders>
              <w:top w:val="single" w:sz="4" w:space="0" w:color="auto"/>
              <w:left w:val="nil"/>
              <w:bottom w:val="single" w:sz="4" w:space="0" w:color="auto"/>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All patients</w:t>
            </w:r>
          </w:p>
        </w:tc>
      </w:tr>
      <w:tr w:rsidR="00DB3FAB" w:rsidRPr="00D32AC2" w:rsidTr="005966A2">
        <w:trPr>
          <w:trHeight w:val="300"/>
        </w:trPr>
        <w:tc>
          <w:tcPr>
            <w:tcW w:w="2977"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rPr>
                <w:rFonts w:ascii="Calibri" w:eastAsia="Times New Roman" w:hAnsi="Calibri" w:cs="Calibri"/>
                <w:color w:val="000000"/>
                <w:szCs w:val="24"/>
                <w:lang w:eastAsia="en-GB"/>
              </w:rPr>
            </w:pPr>
            <w:proofErr w:type="spellStart"/>
            <w:r w:rsidRPr="00D32AC2">
              <w:rPr>
                <w:rFonts w:ascii="Calibri" w:eastAsia="Times New Roman" w:hAnsi="Calibri" w:cs="Calibri"/>
                <w:color w:val="000000"/>
                <w:szCs w:val="24"/>
                <w:lang w:eastAsia="en-GB"/>
              </w:rPr>
              <w:t>Prob</w:t>
            </w:r>
            <w:proofErr w:type="spellEnd"/>
            <w:r w:rsidRPr="00D32AC2">
              <w:rPr>
                <w:rFonts w:ascii="Calibri" w:eastAsia="Times New Roman" w:hAnsi="Calibri" w:cs="Calibri"/>
                <w:color w:val="000000"/>
                <w:szCs w:val="24"/>
                <w:lang w:eastAsia="en-GB"/>
              </w:rPr>
              <w:t>(Z-drug | IV=0)</w:t>
            </w:r>
          </w:p>
        </w:tc>
        <w:tc>
          <w:tcPr>
            <w:tcW w:w="1559"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43%</w:t>
            </w:r>
          </w:p>
        </w:tc>
        <w:tc>
          <w:tcPr>
            <w:tcW w:w="1985"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35%</w:t>
            </w:r>
          </w:p>
        </w:tc>
        <w:tc>
          <w:tcPr>
            <w:tcW w:w="1701"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27%</w:t>
            </w:r>
          </w:p>
        </w:tc>
      </w:tr>
      <w:tr w:rsidR="00DB3FAB" w:rsidRPr="00D32AC2" w:rsidTr="005966A2">
        <w:trPr>
          <w:trHeight w:val="300"/>
        </w:trPr>
        <w:tc>
          <w:tcPr>
            <w:tcW w:w="2977"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rPr>
                <w:rFonts w:ascii="Calibri" w:eastAsia="Times New Roman" w:hAnsi="Calibri" w:cs="Calibri"/>
                <w:color w:val="000000"/>
                <w:szCs w:val="24"/>
                <w:lang w:eastAsia="en-GB"/>
              </w:rPr>
            </w:pPr>
            <w:proofErr w:type="spellStart"/>
            <w:r w:rsidRPr="00D32AC2">
              <w:rPr>
                <w:rFonts w:ascii="Calibri" w:eastAsia="Times New Roman" w:hAnsi="Calibri" w:cs="Calibri"/>
                <w:color w:val="000000"/>
                <w:szCs w:val="24"/>
                <w:lang w:eastAsia="en-GB"/>
              </w:rPr>
              <w:t>Prob</w:t>
            </w:r>
            <w:proofErr w:type="spellEnd"/>
            <w:r w:rsidRPr="00D32AC2">
              <w:rPr>
                <w:rFonts w:ascii="Calibri" w:eastAsia="Times New Roman" w:hAnsi="Calibri" w:cs="Calibri"/>
                <w:color w:val="000000"/>
                <w:szCs w:val="24"/>
                <w:lang w:eastAsia="en-GB"/>
              </w:rPr>
              <w:t>(Z-drug | IV=1)</w:t>
            </w:r>
          </w:p>
        </w:tc>
        <w:tc>
          <w:tcPr>
            <w:tcW w:w="1559"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70%</w:t>
            </w:r>
          </w:p>
        </w:tc>
        <w:tc>
          <w:tcPr>
            <w:tcW w:w="1985"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68%</w:t>
            </w:r>
          </w:p>
        </w:tc>
        <w:tc>
          <w:tcPr>
            <w:tcW w:w="1701"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74%</w:t>
            </w:r>
          </w:p>
        </w:tc>
      </w:tr>
      <w:tr w:rsidR="00DB3FAB" w:rsidRPr="00D32AC2" w:rsidTr="005966A2">
        <w:trPr>
          <w:trHeight w:val="300"/>
        </w:trPr>
        <w:tc>
          <w:tcPr>
            <w:tcW w:w="2977"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Compliers</w:t>
            </w:r>
          </w:p>
        </w:tc>
        <w:tc>
          <w:tcPr>
            <w:tcW w:w="1559"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27%</w:t>
            </w:r>
          </w:p>
        </w:tc>
        <w:tc>
          <w:tcPr>
            <w:tcW w:w="1985"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33%</w:t>
            </w:r>
          </w:p>
        </w:tc>
        <w:tc>
          <w:tcPr>
            <w:tcW w:w="1701"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46%</w:t>
            </w:r>
          </w:p>
        </w:tc>
      </w:tr>
      <w:tr w:rsidR="00DB3FAB" w:rsidRPr="00D32AC2" w:rsidTr="005966A2">
        <w:trPr>
          <w:trHeight w:val="300"/>
        </w:trPr>
        <w:tc>
          <w:tcPr>
            <w:tcW w:w="2977"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r</w:t>
            </w:r>
            <w:r w:rsidRPr="000E7D69">
              <w:rPr>
                <w:rFonts w:ascii="Calibri" w:eastAsia="Times New Roman" w:hAnsi="Calibri" w:cs="Calibri"/>
                <w:color w:val="000000"/>
                <w:szCs w:val="24"/>
                <w:vertAlign w:val="superscript"/>
                <w:lang w:eastAsia="en-GB"/>
              </w:rPr>
              <w:t>2</w:t>
            </w:r>
            <w:r w:rsidRPr="00D32AC2">
              <w:rPr>
                <w:rFonts w:ascii="Calibri" w:eastAsia="Times New Roman" w:hAnsi="Calibri" w:cs="Calibri"/>
                <w:color w:val="000000"/>
                <w:szCs w:val="24"/>
                <w:lang w:eastAsia="en-GB"/>
              </w:rPr>
              <w:t xml:space="preserve"> with confounders</w:t>
            </w:r>
          </w:p>
        </w:tc>
        <w:tc>
          <w:tcPr>
            <w:tcW w:w="1559"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9%</w:t>
            </w:r>
          </w:p>
        </w:tc>
        <w:tc>
          <w:tcPr>
            <w:tcW w:w="1985"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9%</w:t>
            </w:r>
          </w:p>
        </w:tc>
        <w:tc>
          <w:tcPr>
            <w:tcW w:w="1701"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9%</w:t>
            </w:r>
          </w:p>
        </w:tc>
      </w:tr>
      <w:tr w:rsidR="00DB3FAB" w:rsidRPr="00D32AC2" w:rsidTr="005966A2">
        <w:trPr>
          <w:trHeight w:val="300"/>
        </w:trPr>
        <w:tc>
          <w:tcPr>
            <w:tcW w:w="2977"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r</w:t>
            </w:r>
            <w:r w:rsidRPr="000E7D69">
              <w:rPr>
                <w:rFonts w:ascii="Calibri" w:eastAsia="Times New Roman" w:hAnsi="Calibri" w:cs="Calibri"/>
                <w:color w:val="000000"/>
                <w:szCs w:val="24"/>
                <w:vertAlign w:val="superscript"/>
                <w:lang w:eastAsia="en-GB"/>
              </w:rPr>
              <w:t>2</w:t>
            </w:r>
            <w:r w:rsidRPr="00D32AC2">
              <w:rPr>
                <w:rFonts w:ascii="Calibri" w:eastAsia="Times New Roman" w:hAnsi="Calibri" w:cs="Calibri"/>
                <w:color w:val="000000"/>
                <w:szCs w:val="24"/>
                <w:lang w:eastAsia="en-GB"/>
              </w:rPr>
              <w:t xml:space="preserve"> plus IV</w:t>
            </w:r>
          </w:p>
        </w:tc>
        <w:tc>
          <w:tcPr>
            <w:tcW w:w="1559"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12%</w:t>
            </w:r>
          </w:p>
        </w:tc>
        <w:tc>
          <w:tcPr>
            <w:tcW w:w="1985"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14%</w:t>
            </w:r>
          </w:p>
        </w:tc>
        <w:tc>
          <w:tcPr>
            <w:tcW w:w="1701"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20%</w:t>
            </w:r>
          </w:p>
        </w:tc>
      </w:tr>
      <w:tr w:rsidR="00DB3FAB" w:rsidRPr="00D32AC2" w:rsidTr="005966A2">
        <w:trPr>
          <w:trHeight w:val="300"/>
        </w:trPr>
        <w:tc>
          <w:tcPr>
            <w:tcW w:w="2977"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Increase in pseudo r</w:t>
            </w:r>
            <w:r w:rsidRPr="000E7D69">
              <w:rPr>
                <w:rFonts w:ascii="Calibri" w:eastAsia="Times New Roman" w:hAnsi="Calibri" w:cs="Calibri"/>
                <w:color w:val="000000"/>
                <w:szCs w:val="24"/>
                <w:vertAlign w:val="superscript"/>
                <w:lang w:eastAsia="en-GB"/>
              </w:rPr>
              <w:t>2</w:t>
            </w:r>
          </w:p>
        </w:tc>
        <w:tc>
          <w:tcPr>
            <w:tcW w:w="1559"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3%</w:t>
            </w:r>
          </w:p>
        </w:tc>
        <w:tc>
          <w:tcPr>
            <w:tcW w:w="1985"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4%</w:t>
            </w:r>
          </w:p>
        </w:tc>
        <w:tc>
          <w:tcPr>
            <w:tcW w:w="1701" w:type="dxa"/>
            <w:tcBorders>
              <w:top w:val="nil"/>
              <w:left w:val="nil"/>
              <w:bottom w:val="nil"/>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10%</w:t>
            </w:r>
          </w:p>
        </w:tc>
      </w:tr>
      <w:tr w:rsidR="00DB3FAB" w:rsidRPr="00D32AC2" w:rsidTr="005966A2">
        <w:trPr>
          <w:trHeight w:val="300"/>
        </w:trPr>
        <w:tc>
          <w:tcPr>
            <w:tcW w:w="2977" w:type="dxa"/>
            <w:tcBorders>
              <w:top w:val="nil"/>
              <w:left w:val="nil"/>
              <w:bottom w:val="single" w:sz="4" w:space="0" w:color="auto"/>
              <w:right w:val="nil"/>
            </w:tcBorders>
            <w:shd w:val="clear" w:color="auto" w:fill="auto"/>
            <w:noWrap/>
            <w:vAlign w:val="bottom"/>
            <w:hideMark/>
          </w:tcPr>
          <w:p w:rsidR="00DB3FAB" w:rsidRPr="00D32AC2" w:rsidRDefault="00DB3FAB" w:rsidP="005966A2">
            <w:pPr>
              <w:spacing w:after="0" w:line="480" w:lineRule="auto"/>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F statistic</w:t>
            </w:r>
          </w:p>
        </w:tc>
        <w:tc>
          <w:tcPr>
            <w:tcW w:w="1559" w:type="dxa"/>
            <w:tcBorders>
              <w:top w:val="nil"/>
              <w:left w:val="nil"/>
              <w:bottom w:val="single" w:sz="4" w:space="0" w:color="auto"/>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8.3</w:t>
            </w:r>
          </w:p>
        </w:tc>
        <w:tc>
          <w:tcPr>
            <w:tcW w:w="1985" w:type="dxa"/>
            <w:tcBorders>
              <w:top w:val="nil"/>
              <w:left w:val="nil"/>
              <w:bottom w:val="single" w:sz="4" w:space="0" w:color="auto"/>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9.1</w:t>
            </w:r>
          </w:p>
        </w:tc>
        <w:tc>
          <w:tcPr>
            <w:tcW w:w="1701" w:type="dxa"/>
            <w:tcBorders>
              <w:top w:val="nil"/>
              <w:left w:val="nil"/>
              <w:bottom w:val="single" w:sz="4" w:space="0" w:color="auto"/>
              <w:right w:val="nil"/>
            </w:tcBorders>
            <w:shd w:val="clear" w:color="auto" w:fill="auto"/>
            <w:noWrap/>
            <w:vAlign w:val="bottom"/>
            <w:hideMark/>
          </w:tcPr>
          <w:p w:rsidR="00DB3FAB" w:rsidRPr="00D32AC2" w:rsidRDefault="00DB3FAB" w:rsidP="005966A2">
            <w:pPr>
              <w:spacing w:after="0" w:line="480" w:lineRule="auto"/>
              <w:jc w:val="center"/>
              <w:rPr>
                <w:rFonts w:ascii="Calibri" w:eastAsia="Times New Roman" w:hAnsi="Calibri" w:cs="Calibri"/>
                <w:color w:val="000000"/>
                <w:szCs w:val="24"/>
                <w:lang w:eastAsia="en-GB"/>
              </w:rPr>
            </w:pPr>
            <w:r w:rsidRPr="00D32AC2">
              <w:rPr>
                <w:rFonts w:ascii="Calibri" w:eastAsia="Times New Roman" w:hAnsi="Calibri" w:cs="Calibri"/>
                <w:color w:val="000000"/>
                <w:szCs w:val="24"/>
                <w:lang w:eastAsia="en-GB"/>
              </w:rPr>
              <w:t>14.5</w:t>
            </w:r>
          </w:p>
        </w:tc>
      </w:tr>
    </w:tbl>
    <w:p w:rsidR="00DB3FAB" w:rsidRDefault="00DB3FAB" w:rsidP="00DB3FAB">
      <w:pPr>
        <w:spacing w:line="480" w:lineRule="auto"/>
      </w:pPr>
    </w:p>
    <w:p w:rsidR="00DB3FAB" w:rsidRDefault="00DB3FAB" w:rsidP="00DB3FAB">
      <w:pPr>
        <w:pStyle w:val="Heading5"/>
        <w:spacing w:line="480" w:lineRule="auto"/>
      </w:pPr>
      <w:r>
        <w:t>Exchangeability assumption</w:t>
      </w:r>
    </w:p>
    <w:p w:rsidR="00DB3FAB" w:rsidRDefault="00DB3FAB" w:rsidP="00DB3FAB">
      <w:r>
        <w:t>Most potential measured confounders were similar across the IV of the GP practice’s preference for prescribing Z-drugs to people with dementia with sleep disturbance (</w:t>
      </w:r>
      <w:r>
        <w:fldChar w:fldCharType="begin"/>
      </w:r>
      <w:r>
        <w:instrText xml:space="preserve"> REF _Ref527114574 \h </w:instrText>
      </w:r>
      <w:r>
        <w:fldChar w:fldCharType="separate"/>
      </w:r>
      <w:r w:rsidR="00C97829">
        <w:t xml:space="preserve">Table </w:t>
      </w:r>
      <w:r w:rsidR="00C97829">
        <w:rPr>
          <w:noProof/>
        </w:rPr>
        <w:t>2</w:t>
      </w:r>
      <w:r>
        <w:fldChar w:fldCharType="end"/>
      </w:r>
      <w:r>
        <w:t xml:space="preserve"> and </w:t>
      </w:r>
      <w:r>
        <w:fldChar w:fldCharType="begin"/>
      </w:r>
      <w:r>
        <w:instrText xml:space="preserve"> REF _Ref525982260 \h </w:instrText>
      </w:r>
      <w:r>
        <w:fldChar w:fldCharType="separate"/>
      </w:r>
      <w:r w:rsidR="00C97829">
        <w:t xml:space="preserve">Table </w:t>
      </w:r>
      <w:r w:rsidR="00C97829">
        <w:rPr>
          <w:noProof/>
        </w:rPr>
        <w:t>3</w:t>
      </w:r>
      <w:r>
        <w:fldChar w:fldCharType="end"/>
      </w:r>
      <w:r>
        <w:t xml:space="preserve">). GP practices with a preference for Z-drug prescribing were more likely to be from the South/London, be in less deprived areas, have patients with more frequent GP and hospital visits, and less patients with urinary incontinence or a history of sleep disturbance. Unsurprisingly patients from GP practices with a preference for Z-drug prescribing, had a greater history of Z-drug or benzodiazepine prescriptions. However, the bias ratio is &gt;1 for most covariates, showing that the imbalance is greater when using IV rather than actual treatment. </w:t>
      </w:r>
    </w:p>
    <w:p w:rsidR="00DB3FAB" w:rsidRDefault="00DB3FAB" w:rsidP="00DB3FAB">
      <w:pPr>
        <w:rPr>
          <w:rFonts w:ascii="Calibri" w:eastAsia="Calibri" w:hAnsi="Calibri" w:cs="Times New Roman"/>
        </w:rPr>
      </w:pPr>
    </w:p>
    <w:p w:rsidR="00DB3FAB" w:rsidRDefault="00DB3FAB" w:rsidP="00DB3FAB">
      <w:pPr>
        <w:pStyle w:val="Heading3"/>
      </w:pPr>
      <w:bookmarkStart w:id="7" w:name="_Toc3535688"/>
      <w:r>
        <w:t>Summary</w:t>
      </w:r>
      <w:bookmarkEnd w:id="7"/>
    </w:p>
    <w:p w:rsidR="00DB3FAB" w:rsidRDefault="00DB3FAB" w:rsidP="00DB3FAB">
      <w:r>
        <w:t xml:space="preserve">Although we identified an IV that was sufficiently strongly associated with current Z-drug prescription, i.e. that of the tendency of the GP practice to prescribe Z-drugs to people living with dementia, it was considered too weak to be useful for informative analysis. As the majority of covariates had been well balanced in the main analysis, i.e. patient characteristics could not well predict who was prescribed a Z-drug, and as the identified IV was not particularly strong, then performing IV analyses would have led to wide effect estimates for the adverse events and potentially introduce more bias </w:t>
      </w:r>
      <w:r w:rsidR="005E2B51">
        <w:t xml:space="preserve">than in the main analyses. </w:t>
      </w:r>
      <w:r w:rsidR="005E2B51">
        <w:fldChar w:fldCharType="begin"/>
      </w:r>
      <w:r w:rsidR="005E2B51">
        <w:instrText xml:space="preserve"> ADDIN EN.CITE &lt;EndNote&gt;&lt;Cite&gt;&lt;Author&gt;Baiocchi&lt;/Author&gt;&lt;Year&gt;2014&lt;/Year&gt;&lt;RecNum&gt;8&lt;/RecNum&gt;&lt;DisplayText&gt;&lt;style face="superscript"&gt;8&lt;/style&gt;&lt;/DisplayText&gt;&lt;record&gt;&lt;rec-number&gt;8&lt;/rec-number&gt;&lt;foreign-keys&gt;&lt;key app="EN" db-id="9vrv00tap0evrkewa2d5vst7ptz5wtrz0z0p" timestamp="1558351590"&gt;8&lt;/key&gt;&lt;/foreign-keys&gt;&lt;ref-type name="Journal Article"&gt;17&lt;/ref-type&gt;&lt;contributors&gt;&lt;authors&gt;&lt;author&gt;Baiocchi, M.&lt;/author&gt;&lt;author&gt;Cheng, J.&lt;/author&gt;&lt;author&gt;Small, D.&lt;/author&gt;&lt;/authors&gt;&lt;/contributors&gt;&lt;auth-address&gt;Stanford Univ, Sch Med, Dept Med, Stanford Prevent Res Ctr, Stanford, CA 94305 USA&amp;#xD;Univ Calif San Francisco, Sch Dent, Div Oral Epidemiol &amp;amp; Dent Publ Hlth, San Francisco, CA 94143 USA&amp;#xD;Univ Penn, Wharton Sch, Dept Stat, Philadelphia, PA 19104 USA&lt;/auth-address&gt;&lt;titles&gt;&lt;title&gt;Instrumental variable methods for causal inference (vol 33, pg 2297, 2014)&lt;/title&gt;&lt;secondary-title&gt;Statistics in Medicine&lt;/secondary-title&gt;&lt;alt-title&gt;Stat Med&lt;/alt-title&gt;&lt;/titles&gt;&lt;periodical&gt;&lt;full-title&gt;Statistics in Medicine&lt;/full-title&gt;&lt;abbr-1&gt;Stat Med&lt;/abbr-1&gt;&lt;/periodical&gt;&lt;alt-periodical&gt;&lt;full-title&gt;Statistics in Medicine&lt;/full-title&gt;&lt;abbr-1&gt;Stat Med&lt;/abbr-1&gt;&lt;/alt-periodical&gt;&lt;pages&gt;4859-4860&lt;/pages&gt;&lt;volume&gt;33&lt;/volume&gt;&lt;number&gt;27&lt;/number&gt;&lt;dates&gt;&lt;year&gt;2014&lt;/year&gt;&lt;pub-dates&gt;&lt;date&gt;Nov 30&lt;/date&gt;&lt;/pub-dates&gt;&lt;/dates&gt;&lt;isbn&gt;0277-6715&lt;/isbn&gt;&lt;accession-num&gt;WOS:000344626000014&lt;/accession-num&gt;&lt;urls&gt;&lt;related-urls&gt;&lt;url&gt;&amp;lt;Go to ISI&amp;gt;://WOS:000344626000014&lt;/url&gt;&lt;/related-urls&gt;&lt;/urls&gt;&lt;electronic-resource-num&gt;10.1002/sim.6254&lt;/electronic-resource-num&gt;&lt;language&gt;English&lt;/language&gt;&lt;/record&gt;&lt;/Cite&gt;&lt;/EndNote&gt;</w:instrText>
      </w:r>
      <w:r w:rsidR="005E2B51">
        <w:fldChar w:fldCharType="separate"/>
      </w:r>
      <w:r w:rsidR="005E2B51" w:rsidRPr="005E2B51">
        <w:rPr>
          <w:noProof/>
          <w:vertAlign w:val="superscript"/>
        </w:rPr>
        <w:t>8</w:t>
      </w:r>
      <w:r w:rsidR="005E2B51">
        <w:fldChar w:fldCharType="end"/>
      </w:r>
      <w:r>
        <w:t xml:space="preserve"> Hence, we did not proceed with an IV analysis.</w:t>
      </w:r>
      <w:bookmarkStart w:id="8" w:name="_Ref525904915"/>
      <w:bookmarkStart w:id="9" w:name="_Ref525904908"/>
      <w:r>
        <w:br w:type="page"/>
      </w:r>
    </w:p>
    <w:p w:rsidR="00DB3FAB" w:rsidRDefault="00DB3FAB" w:rsidP="00DB3FAB">
      <w:bookmarkStart w:id="10" w:name="_Ref527114574"/>
      <w:bookmarkStart w:id="11" w:name="_Toc8307123"/>
      <w:bookmarkStart w:id="12" w:name="_Toc9244287"/>
      <w:r>
        <w:lastRenderedPageBreak/>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8"/>
      <w:bookmarkEnd w:id="10"/>
      <w:r>
        <w:t>. Imbalance of measured covariates between patients with Z-drugs commonly prescribed at their practice versus commonly not prescribed</w:t>
      </w:r>
      <w:bookmarkEnd w:id="9"/>
      <w:bookmarkEnd w:id="11"/>
      <w:bookmarkEnd w:id="12"/>
    </w:p>
    <w:tbl>
      <w:tblPr>
        <w:tblW w:w="9338" w:type="dxa"/>
        <w:tblInd w:w="108" w:type="dxa"/>
        <w:tblLook w:val="04A0" w:firstRow="1" w:lastRow="0" w:firstColumn="1" w:lastColumn="0" w:noHBand="0" w:noVBand="1"/>
      </w:tblPr>
      <w:tblGrid>
        <w:gridCol w:w="3686"/>
        <w:gridCol w:w="1182"/>
        <w:gridCol w:w="1635"/>
        <w:gridCol w:w="1560"/>
        <w:gridCol w:w="1275"/>
      </w:tblGrid>
      <w:tr w:rsidR="00DB3FAB" w:rsidRPr="0082057C" w:rsidTr="005966A2">
        <w:trPr>
          <w:trHeight w:val="315"/>
        </w:trPr>
        <w:tc>
          <w:tcPr>
            <w:tcW w:w="3686" w:type="dxa"/>
            <w:tcBorders>
              <w:top w:val="single" w:sz="4" w:space="0" w:color="auto"/>
              <w:left w:val="nil"/>
              <w:bottom w:val="nil"/>
              <w:right w:val="nil"/>
            </w:tcBorders>
            <w:shd w:val="clear" w:color="auto" w:fill="auto"/>
            <w:noWrap/>
            <w:vAlign w:val="bottom"/>
            <w:hideMark/>
          </w:tcPr>
          <w:p w:rsidR="00DB3FAB" w:rsidRPr="0082057C" w:rsidRDefault="00DB3FAB" w:rsidP="005966A2">
            <w:pPr>
              <w:spacing w:after="0" w:line="320" w:lineRule="exact"/>
              <w:rPr>
                <w:rFonts w:eastAsia="Times New Roman"/>
                <w:sz w:val="20"/>
                <w:szCs w:val="20"/>
                <w:lang w:eastAsia="en-GB"/>
              </w:rPr>
            </w:pPr>
          </w:p>
        </w:tc>
        <w:tc>
          <w:tcPr>
            <w:tcW w:w="2817" w:type="dxa"/>
            <w:gridSpan w:val="2"/>
            <w:tcBorders>
              <w:top w:val="single" w:sz="4" w:space="0" w:color="auto"/>
              <w:left w:val="nil"/>
              <w:bottom w:val="single" w:sz="8" w:space="0" w:color="auto"/>
              <w:right w:val="nil"/>
            </w:tcBorders>
            <w:shd w:val="clear" w:color="auto" w:fill="auto"/>
            <w:vAlign w:val="center"/>
            <w:hideMark/>
          </w:tcPr>
          <w:p w:rsidR="00DB3FAB" w:rsidRPr="0082057C" w:rsidRDefault="00DB3FAB" w:rsidP="005966A2">
            <w:pPr>
              <w:spacing w:after="0" w:line="320" w:lineRule="exact"/>
              <w:jc w:val="center"/>
              <w:rPr>
                <w:rFonts w:eastAsia="Times New Roman"/>
                <w:b/>
                <w:bCs/>
                <w:sz w:val="20"/>
                <w:szCs w:val="20"/>
                <w:lang w:eastAsia="en-GB"/>
              </w:rPr>
            </w:pPr>
            <w:r w:rsidRPr="0082057C">
              <w:rPr>
                <w:rFonts w:eastAsia="Times New Roman"/>
                <w:b/>
                <w:bCs/>
                <w:sz w:val="20"/>
                <w:szCs w:val="20"/>
                <w:lang w:eastAsia="en-GB"/>
              </w:rPr>
              <w:t>Proportion</w:t>
            </w:r>
          </w:p>
        </w:tc>
        <w:tc>
          <w:tcPr>
            <w:tcW w:w="1560" w:type="dxa"/>
            <w:vMerge w:val="restart"/>
            <w:tcBorders>
              <w:top w:val="single" w:sz="4" w:space="0" w:color="auto"/>
              <w:left w:val="nil"/>
              <w:bottom w:val="single" w:sz="8" w:space="0" w:color="000000"/>
              <w:right w:val="nil"/>
            </w:tcBorders>
            <w:shd w:val="clear" w:color="auto" w:fill="auto"/>
            <w:hideMark/>
          </w:tcPr>
          <w:p w:rsidR="00DB3FAB" w:rsidRPr="0082057C" w:rsidRDefault="00DB3FAB" w:rsidP="005966A2">
            <w:pPr>
              <w:spacing w:after="0" w:line="320" w:lineRule="exact"/>
              <w:jc w:val="center"/>
              <w:rPr>
                <w:rFonts w:eastAsia="Times New Roman"/>
                <w:b/>
                <w:bCs/>
                <w:sz w:val="20"/>
                <w:szCs w:val="20"/>
                <w:lang w:eastAsia="en-GB"/>
              </w:rPr>
            </w:pPr>
            <w:r w:rsidRPr="0082057C">
              <w:rPr>
                <w:rFonts w:eastAsia="Times New Roman"/>
                <w:b/>
                <w:bCs/>
                <w:sz w:val="20"/>
                <w:szCs w:val="20"/>
                <w:lang w:eastAsia="en-GB"/>
              </w:rPr>
              <w:t>Standardised difference</w:t>
            </w:r>
          </w:p>
        </w:tc>
        <w:tc>
          <w:tcPr>
            <w:tcW w:w="1275" w:type="dxa"/>
            <w:tcBorders>
              <w:top w:val="single" w:sz="4" w:space="0" w:color="auto"/>
              <w:left w:val="nil"/>
              <w:bottom w:val="nil"/>
              <w:right w:val="nil"/>
            </w:tcBorders>
            <w:shd w:val="clear" w:color="auto" w:fill="auto"/>
            <w:vAlign w:val="center"/>
            <w:hideMark/>
          </w:tcPr>
          <w:p w:rsidR="00DB3FAB" w:rsidRPr="0082057C" w:rsidRDefault="00DB3FAB" w:rsidP="005966A2">
            <w:pPr>
              <w:spacing w:after="0" w:line="320" w:lineRule="exact"/>
              <w:jc w:val="center"/>
              <w:rPr>
                <w:rFonts w:eastAsia="Times New Roman"/>
                <w:b/>
                <w:bCs/>
                <w:sz w:val="20"/>
                <w:szCs w:val="20"/>
                <w:lang w:eastAsia="en-GB"/>
              </w:rPr>
            </w:pPr>
          </w:p>
        </w:tc>
      </w:tr>
      <w:tr w:rsidR="00DB3FAB" w:rsidRPr="0082057C" w:rsidTr="005966A2">
        <w:trPr>
          <w:trHeight w:val="315"/>
        </w:trPr>
        <w:tc>
          <w:tcPr>
            <w:tcW w:w="3686" w:type="dxa"/>
            <w:tcBorders>
              <w:top w:val="nil"/>
              <w:left w:val="nil"/>
              <w:bottom w:val="single" w:sz="8" w:space="0" w:color="auto"/>
              <w:right w:val="nil"/>
            </w:tcBorders>
            <w:shd w:val="clear" w:color="auto" w:fill="auto"/>
            <w:noWrap/>
            <w:vAlign w:val="center"/>
            <w:hideMark/>
          </w:tcPr>
          <w:p w:rsidR="00DB3FAB" w:rsidRPr="0082057C" w:rsidRDefault="00DB3FAB" w:rsidP="005966A2">
            <w:pPr>
              <w:spacing w:after="0" w:line="320" w:lineRule="exact"/>
              <w:rPr>
                <w:rFonts w:eastAsia="Times New Roman"/>
                <w:b/>
                <w:bCs/>
                <w:sz w:val="20"/>
                <w:szCs w:val="20"/>
                <w:lang w:eastAsia="en-GB"/>
              </w:rPr>
            </w:pPr>
            <w:r w:rsidRPr="0082057C">
              <w:rPr>
                <w:rFonts w:eastAsia="Times New Roman"/>
                <w:b/>
                <w:bCs/>
                <w:sz w:val="20"/>
                <w:szCs w:val="20"/>
                <w:lang w:eastAsia="en-GB"/>
              </w:rPr>
              <w:t xml:space="preserve">Characteristic </w:t>
            </w:r>
          </w:p>
        </w:tc>
        <w:tc>
          <w:tcPr>
            <w:tcW w:w="1182" w:type="dxa"/>
            <w:tcBorders>
              <w:top w:val="nil"/>
              <w:left w:val="nil"/>
              <w:bottom w:val="single" w:sz="8" w:space="0" w:color="auto"/>
              <w:right w:val="nil"/>
            </w:tcBorders>
            <w:shd w:val="clear" w:color="auto" w:fill="auto"/>
            <w:noWrap/>
            <w:vAlign w:val="center"/>
            <w:hideMark/>
          </w:tcPr>
          <w:p w:rsidR="00DB3FAB" w:rsidRPr="0082057C" w:rsidRDefault="00DB3FAB" w:rsidP="005966A2">
            <w:pPr>
              <w:spacing w:after="0" w:line="320" w:lineRule="exact"/>
              <w:jc w:val="center"/>
              <w:rPr>
                <w:rFonts w:eastAsia="Times New Roman"/>
                <w:b/>
                <w:bCs/>
                <w:sz w:val="20"/>
                <w:szCs w:val="20"/>
                <w:lang w:eastAsia="en-GB"/>
              </w:rPr>
            </w:pPr>
            <w:r w:rsidRPr="0082057C">
              <w:rPr>
                <w:rFonts w:eastAsia="Times New Roman"/>
                <w:b/>
                <w:bCs/>
                <w:sz w:val="20"/>
                <w:szCs w:val="20"/>
                <w:lang w:eastAsia="en-GB"/>
              </w:rPr>
              <w:t>IV=Z</w:t>
            </w:r>
            <w:r>
              <w:rPr>
                <w:rFonts w:eastAsia="Times New Roman"/>
                <w:b/>
                <w:bCs/>
                <w:sz w:val="20"/>
                <w:szCs w:val="20"/>
                <w:lang w:eastAsia="en-GB"/>
              </w:rPr>
              <w:t>-</w:t>
            </w:r>
            <w:r w:rsidRPr="0082057C">
              <w:rPr>
                <w:rFonts w:eastAsia="Times New Roman"/>
                <w:b/>
                <w:bCs/>
                <w:sz w:val="20"/>
                <w:szCs w:val="20"/>
                <w:lang w:eastAsia="en-GB"/>
              </w:rPr>
              <w:t>drug</w:t>
            </w:r>
          </w:p>
        </w:tc>
        <w:tc>
          <w:tcPr>
            <w:tcW w:w="1635" w:type="dxa"/>
            <w:tcBorders>
              <w:top w:val="nil"/>
              <w:left w:val="nil"/>
              <w:bottom w:val="single" w:sz="8" w:space="0" w:color="auto"/>
              <w:right w:val="nil"/>
            </w:tcBorders>
            <w:shd w:val="clear" w:color="auto" w:fill="auto"/>
            <w:noWrap/>
            <w:vAlign w:val="center"/>
            <w:hideMark/>
          </w:tcPr>
          <w:p w:rsidR="00DB3FAB" w:rsidRPr="0082057C" w:rsidRDefault="00DB3FAB" w:rsidP="005966A2">
            <w:pPr>
              <w:spacing w:after="0" w:line="320" w:lineRule="exact"/>
              <w:jc w:val="center"/>
              <w:rPr>
                <w:rFonts w:eastAsia="Times New Roman"/>
                <w:b/>
                <w:bCs/>
                <w:sz w:val="20"/>
                <w:szCs w:val="20"/>
                <w:lang w:eastAsia="en-GB"/>
              </w:rPr>
            </w:pPr>
            <w:r w:rsidRPr="0082057C">
              <w:rPr>
                <w:rFonts w:eastAsia="Times New Roman"/>
                <w:b/>
                <w:bCs/>
                <w:sz w:val="20"/>
                <w:szCs w:val="20"/>
                <w:lang w:eastAsia="en-GB"/>
              </w:rPr>
              <w:t>IV=no Z-drug</w:t>
            </w:r>
          </w:p>
        </w:tc>
        <w:tc>
          <w:tcPr>
            <w:tcW w:w="1560" w:type="dxa"/>
            <w:vMerge/>
            <w:tcBorders>
              <w:top w:val="nil"/>
              <w:left w:val="nil"/>
              <w:bottom w:val="single" w:sz="8" w:space="0" w:color="000000"/>
              <w:right w:val="nil"/>
            </w:tcBorders>
            <w:vAlign w:val="center"/>
            <w:hideMark/>
          </w:tcPr>
          <w:p w:rsidR="00DB3FAB" w:rsidRPr="0082057C" w:rsidRDefault="00DB3FAB" w:rsidP="005966A2">
            <w:pPr>
              <w:spacing w:after="0" w:line="320" w:lineRule="exact"/>
              <w:rPr>
                <w:rFonts w:eastAsia="Times New Roman"/>
                <w:b/>
                <w:bCs/>
                <w:sz w:val="20"/>
                <w:szCs w:val="20"/>
                <w:lang w:eastAsia="en-GB"/>
              </w:rPr>
            </w:pPr>
          </w:p>
        </w:tc>
        <w:tc>
          <w:tcPr>
            <w:tcW w:w="1275" w:type="dxa"/>
            <w:tcBorders>
              <w:top w:val="nil"/>
              <w:left w:val="nil"/>
              <w:bottom w:val="single" w:sz="8" w:space="0" w:color="auto"/>
              <w:right w:val="nil"/>
            </w:tcBorders>
            <w:shd w:val="clear" w:color="auto" w:fill="auto"/>
            <w:noWrap/>
            <w:vAlign w:val="center"/>
            <w:hideMark/>
          </w:tcPr>
          <w:p w:rsidR="00DB3FAB" w:rsidRPr="0082057C" w:rsidRDefault="00DB3FAB" w:rsidP="005966A2">
            <w:pPr>
              <w:spacing w:after="0" w:line="320" w:lineRule="exact"/>
              <w:jc w:val="center"/>
              <w:rPr>
                <w:rFonts w:eastAsia="Times New Roman"/>
                <w:b/>
                <w:bCs/>
                <w:sz w:val="20"/>
                <w:szCs w:val="20"/>
                <w:lang w:eastAsia="en-GB"/>
              </w:rPr>
            </w:pPr>
            <w:r>
              <w:rPr>
                <w:rFonts w:eastAsia="Times New Roman"/>
                <w:b/>
                <w:bCs/>
                <w:sz w:val="20"/>
                <w:szCs w:val="20"/>
                <w:lang w:eastAsia="en-GB"/>
              </w:rPr>
              <w:t>B</w:t>
            </w:r>
            <w:r w:rsidRPr="0082057C">
              <w:rPr>
                <w:rFonts w:eastAsia="Times New Roman"/>
                <w:b/>
                <w:bCs/>
                <w:sz w:val="20"/>
                <w:szCs w:val="20"/>
                <w:lang w:eastAsia="en-GB"/>
              </w:rPr>
              <w:t>ias ratio</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Women</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60%</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60%</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0.00</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-0.1</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Age, years</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83.1</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82.9</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0.03</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1.4</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White ethnicity</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92%</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91%</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0.01</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1.7</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Care home</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36%</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33%</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0.05</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6.1</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Index date</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21/02/2009</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05/11/2008</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0.07</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0.7</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GP practice - South/London</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49%</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38%</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0.20</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5.4</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GP practice area IMD quintile</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3.2</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3.4</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-0.13</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11.8</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b/>
                <w:bCs/>
                <w:sz w:val="20"/>
                <w:szCs w:val="20"/>
                <w:lang w:eastAsia="en-GB"/>
              </w:rPr>
            </w:pPr>
            <w:r w:rsidRPr="0082057C">
              <w:rPr>
                <w:rFonts w:eastAsia="Times New Roman"/>
                <w:b/>
                <w:bCs/>
                <w:sz w:val="20"/>
                <w:szCs w:val="20"/>
                <w:lang w:eastAsia="en-GB"/>
              </w:rPr>
              <w:t>Health behaviours</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b/>
                <w:bCs/>
                <w:sz w:val="20"/>
                <w:szCs w:val="20"/>
                <w:lang w:eastAsia="en-GB"/>
              </w:rPr>
            </w:pP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Current smoker</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9%</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9%</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-0.02</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-1.3</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Alcohol user</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23%</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27%</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-0.08</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2.2</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Body mass index</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24.7</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24.5</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0.04</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-6.2</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Systolic blood pressure</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134.0</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134.1</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-0.01</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1.2</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b/>
                <w:bCs/>
                <w:sz w:val="20"/>
                <w:szCs w:val="20"/>
                <w:lang w:eastAsia="en-GB"/>
              </w:rPr>
            </w:pPr>
            <w:r w:rsidRPr="0082057C">
              <w:rPr>
                <w:rFonts w:eastAsia="Times New Roman"/>
                <w:b/>
                <w:bCs/>
                <w:sz w:val="20"/>
                <w:szCs w:val="20"/>
                <w:lang w:eastAsia="en-GB"/>
              </w:rPr>
              <w:t>Dementia</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b/>
                <w:bCs/>
                <w:sz w:val="20"/>
                <w:szCs w:val="20"/>
                <w:lang w:eastAsia="en-GB"/>
              </w:rPr>
            </w:pP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Months since dementia diagnosis</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18.2</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17.7</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0.03</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3.0</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Alzheimer's disease</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1.2</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1.2</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-0.08</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5.1</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Anticholinesterase Rx in last 90 days</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21%</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18%</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0.08</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16.9</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proofErr w:type="spellStart"/>
            <w:r w:rsidRPr="0082057C">
              <w:rPr>
                <w:rFonts w:eastAsia="Times New Roman"/>
                <w:sz w:val="20"/>
                <w:szCs w:val="20"/>
                <w:lang w:eastAsia="en-GB"/>
              </w:rPr>
              <w:t>Memantine</w:t>
            </w:r>
            <w:proofErr w:type="spellEnd"/>
            <w:r w:rsidRPr="0082057C">
              <w:rPr>
                <w:rFonts w:eastAsia="Times New Roman"/>
                <w:sz w:val="20"/>
                <w:szCs w:val="20"/>
                <w:lang w:eastAsia="en-GB"/>
              </w:rPr>
              <w:t xml:space="preserve"> Rx in last 90 days</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0.04</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2.6</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Antipsychotic Rx in last 90 days</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19%</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15%</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0.08</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1.7</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 xml:space="preserve">Agitation/psychosis history </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18%</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21%</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-0.06</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1.9</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End of life care</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5%</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5%</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0.01</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1.1</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b/>
                <w:bCs/>
                <w:sz w:val="20"/>
                <w:szCs w:val="20"/>
                <w:lang w:eastAsia="en-GB"/>
              </w:rPr>
            </w:pPr>
            <w:r w:rsidRPr="0082057C">
              <w:rPr>
                <w:rFonts w:eastAsia="Times New Roman"/>
                <w:b/>
                <w:bCs/>
                <w:sz w:val="20"/>
                <w:szCs w:val="20"/>
                <w:lang w:eastAsia="en-GB"/>
              </w:rPr>
              <w:t>Sleep disturbance</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b/>
                <w:bCs/>
                <w:sz w:val="20"/>
                <w:szCs w:val="20"/>
                <w:lang w:eastAsia="en-GB"/>
              </w:rPr>
            </w:pP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Sleep disturbance diagnosis pre dementia</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22%</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34%</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-0.28</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11.1</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 xml:space="preserve">History of benzodiazepine use </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24%</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20%</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0.09</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3.9</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 xml:space="preserve">History of z-drug use </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9%</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5%</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0.15</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2.7</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b/>
                <w:bCs/>
                <w:sz w:val="20"/>
                <w:szCs w:val="20"/>
                <w:lang w:eastAsia="en-GB"/>
              </w:rPr>
            </w:pPr>
            <w:r w:rsidRPr="0082057C">
              <w:rPr>
                <w:rFonts w:eastAsia="Times New Roman"/>
                <w:b/>
                <w:bCs/>
                <w:sz w:val="20"/>
                <w:szCs w:val="20"/>
                <w:lang w:eastAsia="en-GB"/>
              </w:rPr>
              <w:t>Medical history in past year</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b/>
                <w:bCs/>
                <w:sz w:val="20"/>
                <w:szCs w:val="20"/>
                <w:lang w:eastAsia="en-GB"/>
              </w:rPr>
            </w:pP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Falls</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27%</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30%</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-0.07</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-3.3</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Fractures</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10%</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8%</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0.08</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1.9</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Dizziness/unsteadiness</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5%</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7%</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-0.06</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5.6</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Faints/syncope</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6%</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7%</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-0.05</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6.5</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UTI/acute LRTI</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25%</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23%</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0.04</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1.4</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Influenza vaccination</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69%</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73%</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-0.08</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2.0</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 xml:space="preserve">Pneumonia vaccination </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5%</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6%</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-0.04</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16.0</w:t>
            </w:r>
          </w:p>
        </w:tc>
      </w:tr>
      <w:tr w:rsidR="00DB3FAB" w:rsidRPr="0082057C" w:rsidTr="005966A2">
        <w:trPr>
          <w:trHeight w:val="300"/>
        </w:trPr>
        <w:tc>
          <w:tcPr>
            <w:tcW w:w="3686"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Physician consultations</w:t>
            </w:r>
          </w:p>
        </w:tc>
        <w:tc>
          <w:tcPr>
            <w:tcW w:w="1182"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8.4</w:t>
            </w:r>
          </w:p>
        </w:tc>
        <w:tc>
          <w:tcPr>
            <w:tcW w:w="163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7.6</w:t>
            </w:r>
          </w:p>
        </w:tc>
        <w:tc>
          <w:tcPr>
            <w:tcW w:w="1560"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0.11</w:t>
            </w:r>
          </w:p>
        </w:tc>
        <w:tc>
          <w:tcPr>
            <w:tcW w:w="1275" w:type="dxa"/>
            <w:tcBorders>
              <w:top w:val="nil"/>
              <w:left w:val="nil"/>
              <w:bottom w:val="nil"/>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12.0</w:t>
            </w:r>
          </w:p>
        </w:tc>
      </w:tr>
      <w:tr w:rsidR="00DB3FAB" w:rsidRPr="0082057C" w:rsidTr="005966A2">
        <w:trPr>
          <w:trHeight w:val="300"/>
        </w:trPr>
        <w:tc>
          <w:tcPr>
            <w:tcW w:w="3686" w:type="dxa"/>
            <w:tcBorders>
              <w:top w:val="nil"/>
              <w:left w:val="nil"/>
              <w:bottom w:val="single" w:sz="4" w:space="0" w:color="auto"/>
              <w:right w:val="nil"/>
            </w:tcBorders>
            <w:shd w:val="clear" w:color="auto" w:fill="auto"/>
            <w:noWrap/>
            <w:vAlign w:val="center"/>
            <w:hideMark/>
          </w:tcPr>
          <w:p w:rsidR="00DB3FAB" w:rsidRPr="0082057C" w:rsidRDefault="00DB3FAB" w:rsidP="005966A2">
            <w:pPr>
              <w:spacing w:after="0" w:line="320" w:lineRule="exact"/>
              <w:rPr>
                <w:rFonts w:eastAsia="Times New Roman"/>
                <w:sz w:val="20"/>
                <w:szCs w:val="20"/>
                <w:lang w:eastAsia="en-GB"/>
              </w:rPr>
            </w:pPr>
            <w:r w:rsidRPr="0082057C">
              <w:rPr>
                <w:rFonts w:eastAsia="Times New Roman"/>
                <w:sz w:val="20"/>
                <w:szCs w:val="20"/>
                <w:lang w:eastAsia="en-GB"/>
              </w:rPr>
              <w:t>Hospital admissions</w:t>
            </w:r>
          </w:p>
        </w:tc>
        <w:tc>
          <w:tcPr>
            <w:tcW w:w="1182" w:type="dxa"/>
            <w:tcBorders>
              <w:top w:val="nil"/>
              <w:left w:val="nil"/>
              <w:bottom w:val="single" w:sz="4" w:space="0" w:color="auto"/>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1.2</w:t>
            </w:r>
          </w:p>
        </w:tc>
        <w:tc>
          <w:tcPr>
            <w:tcW w:w="1635" w:type="dxa"/>
            <w:tcBorders>
              <w:top w:val="nil"/>
              <w:left w:val="nil"/>
              <w:bottom w:val="single" w:sz="4" w:space="0" w:color="auto"/>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0.9</w:t>
            </w:r>
          </w:p>
        </w:tc>
        <w:tc>
          <w:tcPr>
            <w:tcW w:w="1560" w:type="dxa"/>
            <w:tcBorders>
              <w:top w:val="nil"/>
              <w:left w:val="nil"/>
              <w:bottom w:val="single" w:sz="4" w:space="0" w:color="auto"/>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0.14</w:t>
            </w:r>
          </w:p>
        </w:tc>
        <w:tc>
          <w:tcPr>
            <w:tcW w:w="1275" w:type="dxa"/>
            <w:tcBorders>
              <w:top w:val="nil"/>
              <w:left w:val="nil"/>
              <w:bottom w:val="single" w:sz="4" w:space="0" w:color="auto"/>
              <w:right w:val="nil"/>
            </w:tcBorders>
            <w:shd w:val="clear" w:color="auto" w:fill="auto"/>
            <w:noWrap/>
            <w:vAlign w:val="center"/>
            <w:hideMark/>
          </w:tcPr>
          <w:p w:rsidR="00DB3FAB" w:rsidRPr="0082057C" w:rsidRDefault="00DB3FAB" w:rsidP="005966A2">
            <w:pPr>
              <w:spacing w:after="0" w:line="320" w:lineRule="exact"/>
              <w:jc w:val="center"/>
              <w:rPr>
                <w:rFonts w:eastAsia="Times New Roman"/>
                <w:sz w:val="20"/>
                <w:szCs w:val="20"/>
                <w:lang w:eastAsia="en-GB"/>
              </w:rPr>
            </w:pPr>
            <w:r w:rsidRPr="0082057C">
              <w:rPr>
                <w:rFonts w:eastAsia="Times New Roman"/>
                <w:sz w:val="20"/>
                <w:szCs w:val="20"/>
                <w:lang w:eastAsia="en-GB"/>
              </w:rPr>
              <w:t>0.7</w:t>
            </w:r>
          </w:p>
        </w:tc>
      </w:tr>
    </w:tbl>
    <w:p w:rsidR="00DB3FAB" w:rsidRDefault="00DB3FAB" w:rsidP="00DB3FAB"/>
    <w:p w:rsidR="00DB3FAB" w:rsidRDefault="00DB3FAB" w:rsidP="00DB3FAB"/>
    <w:p w:rsidR="00DB3FAB" w:rsidRDefault="00DB3FAB" w:rsidP="00DB3FAB"/>
    <w:p w:rsidR="00DB3FAB" w:rsidRDefault="00DB3FAB" w:rsidP="00DB3FAB">
      <w:bookmarkStart w:id="13" w:name="_Ref525982260"/>
      <w:bookmarkStart w:id="14" w:name="_Toc8307124"/>
      <w:bookmarkStart w:id="15" w:name="_Toc9244288"/>
      <w:r>
        <w:lastRenderedPageBreak/>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13"/>
      <w:r>
        <w:t>. Imbalance of measured comorbidities and co-medication between patients with Z-drugs commonly prescribed at their practice versus commonly not prescribed</w:t>
      </w:r>
      <w:bookmarkEnd w:id="14"/>
      <w:bookmarkEnd w:id="15"/>
    </w:p>
    <w:tbl>
      <w:tblPr>
        <w:tblW w:w="9477" w:type="dxa"/>
        <w:tblInd w:w="108" w:type="dxa"/>
        <w:tblLook w:val="04A0" w:firstRow="1" w:lastRow="0" w:firstColumn="1" w:lastColumn="0" w:noHBand="0" w:noVBand="1"/>
      </w:tblPr>
      <w:tblGrid>
        <w:gridCol w:w="3828"/>
        <w:gridCol w:w="1036"/>
        <w:gridCol w:w="1464"/>
        <w:gridCol w:w="1400"/>
        <w:gridCol w:w="1749"/>
      </w:tblGrid>
      <w:tr w:rsidR="00DB3FAB" w:rsidRPr="006951F7" w:rsidTr="005966A2">
        <w:trPr>
          <w:trHeight w:val="315"/>
        </w:trPr>
        <w:tc>
          <w:tcPr>
            <w:tcW w:w="3828" w:type="dxa"/>
            <w:tcBorders>
              <w:top w:val="single" w:sz="4" w:space="0" w:color="auto"/>
              <w:left w:val="nil"/>
              <w:bottom w:val="nil"/>
              <w:right w:val="nil"/>
            </w:tcBorders>
            <w:shd w:val="clear" w:color="auto" w:fill="auto"/>
            <w:noWrap/>
            <w:vAlign w:val="bottom"/>
            <w:hideMark/>
          </w:tcPr>
          <w:p w:rsidR="00DB3FAB" w:rsidRPr="006951F7" w:rsidRDefault="00DB3FAB" w:rsidP="005966A2">
            <w:pPr>
              <w:spacing w:after="0" w:line="240" w:lineRule="auto"/>
              <w:rPr>
                <w:rFonts w:eastAsia="Times New Roman"/>
                <w:sz w:val="20"/>
                <w:szCs w:val="20"/>
                <w:lang w:eastAsia="en-GB"/>
              </w:rPr>
            </w:pPr>
          </w:p>
        </w:tc>
        <w:tc>
          <w:tcPr>
            <w:tcW w:w="2500" w:type="dxa"/>
            <w:gridSpan w:val="2"/>
            <w:tcBorders>
              <w:top w:val="single" w:sz="4" w:space="0" w:color="auto"/>
              <w:left w:val="nil"/>
              <w:bottom w:val="single" w:sz="8" w:space="0" w:color="auto"/>
              <w:right w:val="nil"/>
            </w:tcBorders>
            <w:shd w:val="clear" w:color="auto" w:fill="auto"/>
            <w:vAlign w:val="center"/>
            <w:hideMark/>
          </w:tcPr>
          <w:p w:rsidR="00DB3FAB" w:rsidRPr="006951F7" w:rsidRDefault="00DB3FAB" w:rsidP="005966A2">
            <w:pPr>
              <w:spacing w:after="0" w:line="240" w:lineRule="auto"/>
              <w:jc w:val="center"/>
              <w:rPr>
                <w:rFonts w:eastAsia="Times New Roman"/>
                <w:b/>
                <w:bCs/>
                <w:sz w:val="20"/>
                <w:szCs w:val="20"/>
                <w:lang w:eastAsia="en-GB"/>
              </w:rPr>
            </w:pPr>
            <w:r w:rsidRPr="006951F7">
              <w:rPr>
                <w:rFonts w:eastAsia="Times New Roman"/>
                <w:b/>
                <w:bCs/>
                <w:sz w:val="20"/>
                <w:szCs w:val="20"/>
                <w:lang w:eastAsia="en-GB"/>
              </w:rPr>
              <w:t>Proportion</w:t>
            </w:r>
          </w:p>
        </w:tc>
        <w:tc>
          <w:tcPr>
            <w:tcW w:w="1400" w:type="dxa"/>
            <w:vMerge w:val="restart"/>
            <w:tcBorders>
              <w:top w:val="single" w:sz="4" w:space="0" w:color="auto"/>
              <w:left w:val="nil"/>
              <w:bottom w:val="single" w:sz="8" w:space="0" w:color="000000"/>
              <w:right w:val="nil"/>
            </w:tcBorders>
            <w:shd w:val="clear" w:color="auto" w:fill="auto"/>
            <w:hideMark/>
          </w:tcPr>
          <w:p w:rsidR="00DB3FAB" w:rsidRPr="006951F7" w:rsidRDefault="00DB3FAB" w:rsidP="005966A2">
            <w:pPr>
              <w:spacing w:after="0" w:line="240" w:lineRule="auto"/>
              <w:jc w:val="center"/>
              <w:rPr>
                <w:rFonts w:eastAsia="Times New Roman"/>
                <w:b/>
                <w:bCs/>
                <w:sz w:val="20"/>
                <w:szCs w:val="20"/>
                <w:lang w:eastAsia="en-GB"/>
              </w:rPr>
            </w:pPr>
            <w:r w:rsidRPr="006951F7">
              <w:rPr>
                <w:rFonts w:eastAsia="Times New Roman"/>
                <w:b/>
                <w:bCs/>
                <w:sz w:val="20"/>
                <w:szCs w:val="20"/>
                <w:lang w:eastAsia="en-GB"/>
              </w:rPr>
              <w:t>Standardised difference</w:t>
            </w:r>
          </w:p>
        </w:tc>
        <w:tc>
          <w:tcPr>
            <w:tcW w:w="1749" w:type="dxa"/>
            <w:tcBorders>
              <w:top w:val="single" w:sz="4" w:space="0" w:color="auto"/>
              <w:left w:val="nil"/>
              <w:bottom w:val="nil"/>
              <w:right w:val="nil"/>
            </w:tcBorders>
            <w:shd w:val="clear" w:color="auto" w:fill="auto"/>
            <w:vAlign w:val="center"/>
            <w:hideMark/>
          </w:tcPr>
          <w:p w:rsidR="00DB3FAB" w:rsidRPr="006951F7" w:rsidRDefault="00DB3FAB" w:rsidP="005966A2">
            <w:pPr>
              <w:spacing w:after="0" w:line="240" w:lineRule="auto"/>
              <w:jc w:val="center"/>
              <w:rPr>
                <w:rFonts w:eastAsia="Times New Roman"/>
                <w:b/>
                <w:bCs/>
                <w:sz w:val="20"/>
                <w:szCs w:val="20"/>
                <w:lang w:eastAsia="en-GB"/>
              </w:rPr>
            </w:pPr>
          </w:p>
        </w:tc>
      </w:tr>
      <w:tr w:rsidR="00DB3FAB" w:rsidRPr="006951F7" w:rsidTr="005966A2">
        <w:trPr>
          <w:trHeight w:val="315"/>
        </w:trPr>
        <w:tc>
          <w:tcPr>
            <w:tcW w:w="3828" w:type="dxa"/>
            <w:tcBorders>
              <w:top w:val="nil"/>
              <w:left w:val="nil"/>
              <w:bottom w:val="single" w:sz="8" w:space="0" w:color="auto"/>
              <w:right w:val="nil"/>
            </w:tcBorders>
            <w:shd w:val="clear" w:color="auto" w:fill="auto"/>
            <w:noWrap/>
            <w:vAlign w:val="center"/>
            <w:hideMark/>
          </w:tcPr>
          <w:p w:rsidR="00DB3FAB" w:rsidRPr="006951F7" w:rsidRDefault="00DB3FAB" w:rsidP="005966A2">
            <w:pPr>
              <w:spacing w:after="0" w:line="240" w:lineRule="auto"/>
              <w:rPr>
                <w:rFonts w:eastAsia="Times New Roman"/>
                <w:b/>
                <w:bCs/>
                <w:sz w:val="20"/>
                <w:szCs w:val="20"/>
                <w:lang w:eastAsia="en-GB"/>
              </w:rPr>
            </w:pPr>
            <w:r w:rsidRPr="006951F7">
              <w:rPr>
                <w:rFonts w:eastAsia="Times New Roman"/>
                <w:b/>
                <w:bCs/>
                <w:sz w:val="20"/>
                <w:szCs w:val="20"/>
                <w:lang w:eastAsia="en-GB"/>
              </w:rPr>
              <w:t xml:space="preserve">Characteristic </w:t>
            </w:r>
          </w:p>
        </w:tc>
        <w:tc>
          <w:tcPr>
            <w:tcW w:w="1036" w:type="dxa"/>
            <w:tcBorders>
              <w:top w:val="nil"/>
              <w:left w:val="nil"/>
              <w:bottom w:val="single" w:sz="8" w:space="0" w:color="auto"/>
              <w:right w:val="nil"/>
            </w:tcBorders>
            <w:shd w:val="clear" w:color="auto" w:fill="auto"/>
            <w:noWrap/>
            <w:vAlign w:val="center"/>
            <w:hideMark/>
          </w:tcPr>
          <w:p w:rsidR="00DB3FAB" w:rsidRPr="006951F7" w:rsidRDefault="00DB3FAB" w:rsidP="005966A2">
            <w:pPr>
              <w:spacing w:after="0" w:line="240" w:lineRule="auto"/>
              <w:jc w:val="center"/>
              <w:rPr>
                <w:rFonts w:eastAsia="Times New Roman"/>
                <w:b/>
                <w:bCs/>
                <w:sz w:val="20"/>
                <w:szCs w:val="20"/>
                <w:lang w:eastAsia="en-GB"/>
              </w:rPr>
            </w:pPr>
            <w:r w:rsidRPr="006951F7">
              <w:rPr>
                <w:rFonts w:eastAsia="Times New Roman"/>
                <w:b/>
                <w:bCs/>
                <w:sz w:val="20"/>
                <w:szCs w:val="20"/>
                <w:lang w:eastAsia="en-GB"/>
              </w:rPr>
              <w:t>IV=Z</w:t>
            </w:r>
            <w:r>
              <w:rPr>
                <w:rFonts w:eastAsia="Times New Roman"/>
                <w:b/>
                <w:bCs/>
                <w:sz w:val="20"/>
                <w:szCs w:val="20"/>
                <w:lang w:eastAsia="en-GB"/>
              </w:rPr>
              <w:t>-</w:t>
            </w:r>
            <w:r w:rsidRPr="006951F7">
              <w:rPr>
                <w:rFonts w:eastAsia="Times New Roman"/>
                <w:b/>
                <w:bCs/>
                <w:sz w:val="20"/>
                <w:szCs w:val="20"/>
                <w:lang w:eastAsia="en-GB"/>
              </w:rPr>
              <w:t>drug</w:t>
            </w:r>
          </w:p>
        </w:tc>
        <w:tc>
          <w:tcPr>
            <w:tcW w:w="1464" w:type="dxa"/>
            <w:tcBorders>
              <w:top w:val="nil"/>
              <w:left w:val="nil"/>
              <w:bottom w:val="single" w:sz="8" w:space="0" w:color="auto"/>
              <w:right w:val="nil"/>
            </w:tcBorders>
            <w:shd w:val="clear" w:color="auto" w:fill="auto"/>
            <w:noWrap/>
            <w:vAlign w:val="center"/>
            <w:hideMark/>
          </w:tcPr>
          <w:p w:rsidR="00DB3FAB" w:rsidRPr="006951F7" w:rsidRDefault="00DB3FAB" w:rsidP="005966A2">
            <w:pPr>
              <w:spacing w:after="0" w:line="240" w:lineRule="auto"/>
              <w:jc w:val="center"/>
              <w:rPr>
                <w:rFonts w:eastAsia="Times New Roman"/>
                <w:b/>
                <w:bCs/>
                <w:sz w:val="20"/>
                <w:szCs w:val="20"/>
                <w:lang w:eastAsia="en-GB"/>
              </w:rPr>
            </w:pPr>
            <w:r w:rsidRPr="006951F7">
              <w:rPr>
                <w:rFonts w:eastAsia="Times New Roman"/>
                <w:b/>
                <w:bCs/>
                <w:sz w:val="20"/>
                <w:szCs w:val="20"/>
                <w:lang w:eastAsia="en-GB"/>
              </w:rPr>
              <w:t>IV=no Z-drug</w:t>
            </w:r>
          </w:p>
        </w:tc>
        <w:tc>
          <w:tcPr>
            <w:tcW w:w="1400" w:type="dxa"/>
            <w:vMerge/>
            <w:tcBorders>
              <w:top w:val="nil"/>
              <w:left w:val="nil"/>
              <w:bottom w:val="single" w:sz="8" w:space="0" w:color="000000"/>
              <w:right w:val="nil"/>
            </w:tcBorders>
            <w:vAlign w:val="center"/>
            <w:hideMark/>
          </w:tcPr>
          <w:p w:rsidR="00DB3FAB" w:rsidRPr="006951F7" w:rsidRDefault="00DB3FAB" w:rsidP="005966A2">
            <w:pPr>
              <w:spacing w:after="0" w:line="240" w:lineRule="auto"/>
              <w:rPr>
                <w:rFonts w:eastAsia="Times New Roman"/>
                <w:b/>
                <w:bCs/>
                <w:sz w:val="20"/>
                <w:szCs w:val="20"/>
                <w:lang w:eastAsia="en-GB"/>
              </w:rPr>
            </w:pPr>
          </w:p>
        </w:tc>
        <w:tc>
          <w:tcPr>
            <w:tcW w:w="1749" w:type="dxa"/>
            <w:tcBorders>
              <w:top w:val="nil"/>
              <w:left w:val="nil"/>
              <w:bottom w:val="single" w:sz="8" w:space="0" w:color="auto"/>
              <w:right w:val="nil"/>
            </w:tcBorders>
            <w:shd w:val="clear" w:color="auto" w:fill="auto"/>
            <w:noWrap/>
            <w:vAlign w:val="center"/>
            <w:hideMark/>
          </w:tcPr>
          <w:p w:rsidR="00DB3FAB" w:rsidRPr="006951F7" w:rsidRDefault="00DB3FAB" w:rsidP="005966A2">
            <w:pPr>
              <w:spacing w:after="0" w:line="240" w:lineRule="auto"/>
              <w:jc w:val="center"/>
              <w:rPr>
                <w:rFonts w:eastAsia="Times New Roman"/>
                <w:b/>
                <w:bCs/>
                <w:sz w:val="20"/>
                <w:szCs w:val="20"/>
                <w:lang w:eastAsia="en-GB"/>
              </w:rPr>
            </w:pPr>
            <w:r>
              <w:rPr>
                <w:rFonts w:eastAsia="Times New Roman"/>
                <w:b/>
                <w:bCs/>
                <w:sz w:val="20"/>
                <w:szCs w:val="20"/>
                <w:lang w:eastAsia="en-GB"/>
              </w:rPr>
              <w:t>B</w:t>
            </w:r>
            <w:r w:rsidRPr="006951F7">
              <w:rPr>
                <w:rFonts w:eastAsia="Times New Roman"/>
                <w:b/>
                <w:bCs/>
                <w:sz w:val="20"/>
                <w:szCs w:val="20"/>
                <w:lang w:eastAsia="en-GB"/>
              </w:rPr>
              <w:t>ias ratio</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b/>
                <w:bCs/>
                <w:sz w:val="20"/>
                <w:szCs w:val="20"/>
                <w:lang w:eastAsia="en-GB"/>
              </w:rPr>
            </w:pPr>
            <w:r w:rsidRPr="006951F7">
              <w:rPr>
                <w:rFonts w:eastAsia="Times New Roman"/>
                <w:b/>
                <w:bCs/>
                <w:sz w:val="20"/>
                <w:szCs w:val="20"/>
                <w:lang w:eastAsia="en-GB"/>
              </w:rPr>
              <w:t>Comorbidities</w:t>
            </w:r>
          </w:p>
        </w:tc>
        <w:tc>
          <w:tcPr>
            <w:tcW w:w="1036" w:type="dxa"/>
            <w:tcBorders>
              <w:top w:val="nil"/>
              <w:left w:val="nil"/>
              <w:bottom w:val="nil"/>
              <w:right w:val="nil"/>
            </w:tcBorders>
            <w:shd w:val="clear" w:color="auto" w:fill="auto"/>
            <w:noWrap/>
            <w:vAlign w:val="bottom"/>
            <w:hideMark/>
          </w:tcPr>
          <w:p w:rsidR="00DB3FAB" w:rsidRPr="006951F7" w:rsidRDefault="00DB3FAB" w:rsidP="005966A2">
            <w:pPr>
              <w:spacing w:after="0" w:line="240" w:lineRule="auto"/>
              <w:rPr>
                <w:rFonts w:eastAsia="Times New Roman"/>
                <w:b/>
                <w:bCs/>
                <w:sz w:val="20"/>
                <w:szCs w:val="20"/>
                <w:lang w:eastAsia="en-GB"/>
              </w:rPr>
            </w:pPr>
          </w:p>
        </w:tc>
        <w:tc>
          <w:tcPr>
            <w:tcW w:w="1464" w:type="dxa"/>
            <w:tcBorders>
              <w:top w:val="nil"/>
              <w:left w:val="nil"/>
              <w:bottom w:val="nil"/>
              <w:right w:val="nil"/>
            </w:tcBorders>
            <w:shd w:val="clear" w:color="auto" w:fill="auto"/>
            <w:noWrap/>
            <w:vAlign w:val="bottom"/>
            <w:hideMark/>
          </w:tcPr>
          <w:p w:rsidR="00DB3FAB" w:rsidRPr="006951F7" w:rsidRDefault="00DB3FAB" w:rsidP="005966A2">
            <w:pPr>
              <w:spacing w:after="0" w:line="240" w:lineRule="auto"/>
              <w:jc w:val="center"/>
              <w:rPr>
                <w:rFonts w:eastAsia="Times New Roman"/>
                <w:sz w:val="20"/>
                <w:szCs w:val="20"/>
                <w:lang w:eastAsia="en-GB"/>
              </w:rPr>
            </w:pP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p>
        </w:tc>
      </w:tr>
      <w:tr w:rsidR="00DB3FAB" w:rsidRPr="006951F7" w:rsidTr="005966A2">
        <w:trPr>
          <w:trHeight w:val="315"/>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Depression</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27%</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24%</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0.07</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-3.5</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Depression symptoms</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18%</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20%</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-0.06</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2.0</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Anxiety</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16%</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16%</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-0.01</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0.7</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Anxiety symptoms</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11%</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14%</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-0.09</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2.9</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Parkinson's disease</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5%</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7%</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-0.07</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-5.6</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Urinary incontinence</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15%</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25%</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-0.26</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3.1</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Benign prostatic hyperplasia</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10%</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11%</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-0.03</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-1.9</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Asthma</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9%</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10%</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-0.02</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-89.8</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 xml:space="preserve">Cancer </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20%</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20%</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0.01</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0.4</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COPD</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7%</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8%</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-0.02</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1.5</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Osteoporosis</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12%</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11%</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0.02</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-0.8</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 xml:space="preserve">Other </w:t>
            </w:r>
            <w:proofErr w:type="spellStart"/>
            <w:r w:rsidRPr="006951F7">
              <w:rPr>
                <w:rFonts w:eastAsia="Times New Roman"/>
                <w:sz w:val="20"/>
                <w:szCs w:val="20"/>
                <w:lang w:eastAsia="en-GB"/>
              </w:rPr>
              <w:t>muscleroskeletal</w:t>
            </w:r>
            <w:proofErr w:type="spellEnd"/>
            <w:r w:rsidRPr="006951F7">
              <w:rPr>
                <w:rFonts w:eastAsia="Times New Roman"/>
                <w:sz w:val="20"/>
                <w:szCs w:val="20"/>
                <w:lang w:eastAsia="en-GB"/>
              </w:rPr>
              <w:t xml:space="preserve"> conditions</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13%</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13%</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-0.02</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1.2</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Osteoarthritis/RA</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39%</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42%</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-0.06</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2.2</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Other joint conditions</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82%</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84%</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-0.04</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2.2</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Headache/migraine</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19%</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21%</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-0.07</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2.3</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Back/neck pain</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53%</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54%</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-0.01</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0.3</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ARMD</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6%</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6%</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-0.01</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0.4</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Cataract</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28%</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31%</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-0.07</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4.1</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Glaucoma</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10%</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10%</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-0.01</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1.0</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Retinal disorder</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8%</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9%</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-0.05</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60.7</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 xml:space="preserve">Diabetes </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14%</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15%</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-0.05</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-318.8</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proofErr w:type="spellStart"/>
            <w:r w:rsidRPr="006951F7">
              <w:rPr>
                <w:rFonts w:eastAsia="Times New Roman"/>
                <w:sz w:val="20"/>
                <w:szCs w:val="20"/>
                <w:lang w:eastAsia="en-GB"/>
              </w:rPr>
              <w:t>Hyperlipidemia</w:t>
            </w:r>
            <w:proofErr w:type="spellEnd"/>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12%</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15%</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-0.09</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2.8</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Hypertension</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51%</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56%</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-0.11</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3.0</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Stroke/TIA</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22%</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22%</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-0.01</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-1.8</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Myocardial infarction</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8%</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10%</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-0.04</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4.5</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Heart failure</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9%</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10%</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-0.02</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35.6</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Atrial fibrillation</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15%</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15%</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-0.01</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-0.8</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Angina</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15%</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17%</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-0.05</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4.6</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Venous thromboembolism</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7%</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6%</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0.01</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-1.5</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b/>
                <w:bCs/>
                <w:sz w:val="20"/>
                <w:szCs w:val="20"/>
                <w:lang w:eastAsia="en-GB"/>
              </w:rPr>
            </w:pPr>
            <w:r w:rsidRPr="006951F7">
              <w:rPr>
                <w:rFonts w:eastAsia="Times New Roman"/>
                <w:b/>
                <w:bCs/>
                <w:sz w:val="20"/>
                <w:szCs w:val="20"/>
                <w:lang w:eastAsia="en-GB"/>
              </w:rPr>
              <w:t>Prescriptions in last 90 days</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b/>
                <w:bCs/>
                <w:sz w:val="20"/>
                <w:szCs w:val="20"/>
                <w:lang w:eastAsia="en-GB"/>
              </w:rPr>
            </w:pP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SSRI</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19%</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19%</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0.00</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Other antidepressant</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24%</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25%</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-0.03</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-6.4</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Antiepileptic</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24%</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25%</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-0.05</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2.6</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Parkinson's disease drug</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24%</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26%</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-0.08</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-14.9</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Analgesic</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40%</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40%</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-0.01</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0.3</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Inhaled corticosteroid</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4%</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5%</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-0.03</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1.6</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Lipid regulating medication</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32%</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33%</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-0.02</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1.7</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Diuretic</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31%</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30%</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0.03</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22.4</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Beta blocker</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17%</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17%</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0.00</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-0.2</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ACE inhibitor</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19%</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20%</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-0.01</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0.4</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lastRenderedPageBreak/>
              <w:t xml:space="preserve">Angiotensin II receptor antagonist </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25%</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25%</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0.00</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0.3</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Calcium channel blocker</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17%</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19%</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-0.05</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4.8</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Anticoagulant</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5%</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5%</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0.01</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-0.4</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Antiplatelet</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44%</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45%</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-0.03</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-20.4</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Cardiac glycoside</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8%</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7%</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0.02</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1.5</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NSAID</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7%</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7%</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-0.02</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0.6</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Bisphosphonate</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9%</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9%</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0.02</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-0.8</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Calcium/Vitamin D</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17%</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18%</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-0.02</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1.4</w:t>
            </w:r>
          </w:p>
        </w:tc>
      </w:tr>
      <w:tr w:rsidR="00DB3FAB" w:rsidRPr="006951F7" w:rsidTr="005966A2">
        <w:trPr>
          <w:trHeight w:val="300"/>
        </w:trPr>
        <w:tc>
          <w:tcPr>
            <w:tcW w:w="3828"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Diabetes medications</w:t>
            </w:r>
          </w:p>
        </w:tc>
        <w:tc>
          <w:tcPr>
            <w:tcW w:w="1036"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10%</w:t>
            </w:r>
          </w:p>
        </w:tc>
        <w:tc>
          <w:tcPr>
            <w:tcW w:w="1464"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12%</w:t>
            </w:r>
          </w:p>
        </w:tc>
        <w:tc>
          <w:tcPr>
            <w:tcW w:w="1400"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-0.05</w:t>
            </w:r>
          </w:p>
        </w:tc>
        <w:tc>
          <w:tcPr>
            <w:tcW w:w="1749" w:type="dxa"/>
            <w:tcBorders>
              <w:top w:val="nil"/>
              <w:left w:val="nil"/>
              <w:bottom w:val="nil"/>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-196.7</w:t>
            </w:r>
          </w:p>
        </w:tc>
      </w:tr>
      <w:tr w:rsidR="00DB3FAB" w:rsidRPr="006951F7" w:rsidTr="005966A2">
        <w:trPr>
          <w:trHeight w:val="300"/>
        </w:trPr>
        <w:tc>
          <w:tcPr>
            <w:tcW w:w="3828" w:type="dxa"/>
            <w:tcBorders>
              <w:top w:val="nil"/>
              <w:left w:val="nil"/>
              <w:bottom w:val="single" w:sz="4" w:space="0" w:color="auto"/>
              <w:right w:val="nil"/>
            </w:tcBorders>
            <w:shd w:val="clear" w:color="auto" w:fill="auto"/>
            <w:noWrap/>
            <w:vAlign w:val="center"/>
            <w:hideMark/>
          </w:tcPr>
          <w:p w:rsidR="00DB3FAB" w:rsidRPr="006951F7" w:rsidRDefault="00DB3FAB" w:rsidP="005966A2">
            <w:pPr>
              <w:spacing w:after="0" w:line="240" w:lineRule="auto"/>
              <w:rPr>
                <w:rFonts w:eastAsia="Times New Roman"/>
                <w:sz w:val="20"/>
                <w:szCs w:val="20"/>
                <w:lang w:eastAsia="en-GB"/>
              </w:rPr>
            </w:pPr>
            <w:r w:rsidRPr="006951F7">
              <w:rPr>
                <w:rFonts w:eastAsia="Times New Roman"/>
                <w:sz w:val="20"/>
                <w:szCs w:val="20"/>
                <w:lang w:eastAsia="en-GB"/>
              </w:rPr>
              <w:t>Antibiotic (in last 30 days)</w:t>
            </w:r>
          </w:p>
        </w:tc>
        <w:tc>
          <w:tcPr>
            <w:tcW w:w="1036" w:type="dxa"/>
            <w:tcBorders>
              <w:top w:val="nil"/>
              <w:left w:val="nil"/>
              <w:bottom w:val="single" w:sz="4" w:space="0" w:color="auto"/>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20%</w:t>
            </w:r>
          </w:p>
        </w:tc>
        <w:tc>
          <w:tcPr>
            <w:tcW w:w="1464" w:type="dxa"/>
            <w:tcBorders>
              <w:top w:val="nil"/>
              <w:left w:val="nil"/>
              <w:bottom w:val="single" w:sz="4" w:space="0" w:color="auto"/>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19%</w:t>
            </w:r>
          </w:p>
        </w:tc>
        <w:tc>
          <w:tcPr>
            <w:tcW w:w="1400" w:type="dxa"/>
            <w:tcBorders>
              <w:top w:val="nil"/>
              <w:left w:val="nil"/>
              <w:bottom w:val="single" w:sz="4" w:space="0" w:color="auto"/>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0.04</w:t>
            </w:r>
          </w:p>
        </w:tc>
        <w:tc>
          <w:tcPr>
            <w:tcW w:w="1749" w:type="dxa"/>
            <w:tcBorders>
              <w:top w:val="nil"/>
              <w:left w:val="nil"/>
              <w:bottom w:val="single" w:sz="4" w:space="0" w:color="auto"/>
              <w:right w:val="nil"/>
            </w:tcBorders>
            <w:shd w:val="clear" w:color="auto" w:fill="auto"/>
            <w:noWrap/>
            <w:vAlign w:val="center"/>
            <w:hideMark/>
          </w:tcPr>
          <w:p w:rsidR="00DB3FAB" w:rsidRPr="006951F7" w:rsidRDefault="00DB3FAB" w:rsidP="005966A2">
            <w:pPr>
              <w:spacing w:after="0" w:line="240" w:lineRule="auto"/>
              <w:jc w:val="center"/>
              <w:rPr>
                <w:rFonts w:eastAsia="Times New Roman"/>
                <w:sz w:val="20"/>
                <w:szCs w:val="20"/>
                <w:lang w:eastAsia="en-GB"/>
              </w:rPr>
            </w:pPr>
            <w:r w:rsidRPr="006951F7">
              <w:rPr>
                <w:rFonts w:eastAsia="Times New Roman"/>
                <w:sz w:val="20"/>
                <w:szCs w:val="20"/>
                <w:lang w:eastAsia="en-GB"/>
              </w:rPr>
              <w:t>1.5</w:t>
            </w:r>
          </w:p>
        </w:tc>
      </w:tr>
    </w:tbl>
    <w:p w:rsidR="00DB3FAB" w:rsidRDefault="00DB3FAB" w:rsidP="00DB3FAB"/>
    <w:p w:rsidR="00DB3FAB" w:rsidRDefault="00DB3FAB" w:rsidP="00DB3FAB"/>
    <w:p w:rsidR="00DB3FAB" w:rsidRDefault="00DB3FAB" w:rsidP="00DB3FAB">
      <w:pPr>
        <w:rPr>
          <w:rFonts w:asciiTheme="majorHAnsi" w:eastAsiaTheme="majorEastAsia" w:hAnsiTheme="majorHAnsi" w:cstheme="majorBidi"/>
          <w:color w:val="2E74B5" w:themeColor="accent1" w:themeShade="BF"/>
          <w:sz w:val="28"/>
          <w:szCs w:val="26"/>
        </w:rPr>
      </w:pPr>
      <w:r>
        <w:br w:type="page"/>
      </w:r>
    </w:p>
    <w:p w:rsidR="00CA361C" w:rsidRPr="005B23BC" w:rsidRDefault="005B23BC" w:rsidP="00DB3FAB">
      <w:pPr>
        <w:rPr>
          <w:u w:val="single"/>
        </w:rPr>
      </w:pPr>
      <w:r w:rsidRPr="005B23BC">
        <w:rPr>
          <w:u w:val="single"/>
        </w:rPr>
        <w:lastRenderedPageBreak/>
        <w:t>References</w:t>
      </w:r>
    </w:p>
    <w:p w:rsidR="00CA361C" w:rsidRDefault="00CA361C" w:rsidP="00DB3FAB"/>
    <w:p w:rsidR="005E2B51" w:rsidRPr="005E2B51" w:rsidRDefault="00CA361C" w:rsidP="005E2B51">
      <w:pPr>
        <w:pStyle w:val="EndNoteBibliography"/>
        <w:spacing w:after="0"/>
      </w:pPr>
      <w:r>
        <w:fldChar w:fldCharType="begin"/>
      </w:r>
      <w:r>
        <w:instrText xml:space="preserve"> ADDIN EN.REFLIST </w:instrText>
      </w:r>
      <w:r>
        <w:fldChar w:fldCharType="separate"/>
      </w:r>
      <w:r w:rsidR="005E2B51" w:rsidRPr="005E2B51">
        <w:t>1.</w:t>
      </w:r>
      <w:r w:rsidR="005E2B51" w:rsidRPr="005E2B51">
        <w:tab/>
        <w:t xml:space="preserve">Ertefaie A, Small DS, Flory JH, Hennessy S. A tutorial on the use of instrumental variables in pharmacoepidemiology. </w:t>
      </w:r>
      <w:r w:rsidR="005E2B51" w:rsidRPr="005E2B51">
        <w:rPr>
          <w:i/>
        </w:rPr>
        <w:t>Pharmacoepidemiol Drug Saf</w:t>
      </w:r>
      <w:r w:rsidR="005E2B51" w:rsidRPr="005E2B51">
        <w:t xml:space="preserve"> 2017;</w:t>
      </w:r>
      <w:r w:rsidR="005E2B51" w:rsidRPr="005E2B51">
        <w:rPr>
          <w:b/>
        </w:rPr>
        <w:t>26</w:t>
      </w:r>
      <w:r w:rsidR="005E2B51" w:rsidRPr="005E2B51">
        <w:t xml:space="preserve">:357-67. </w:t>
      </w:r>
      <w:hyperlink r:id="rId5" w:history="1">
        <w:r w:rsidR="005E2B51" w:rsidRPr="005E2B51">
          <w:rPr>
            <w:rStyle w:val="Hyperlink"/>
          </w:rPr>
          <w:t>http://dx.doi.org/10.1002/pds.4158</w:t>
        </w:r>
      </w:hyperlink>
    </w:p>
    <w:p w:rsidR="005E2B51" w:rsidRPr="005E2B51" w:rsidRDefault="005E2B51" w:rsidP="005E2B51">
      <w:pPr>
        <w:pStyle w:val="EndNoteBibliography"/>
        <w:spacing w:after="0"/>
      </w:pPr>
      <w:r w:rsidRPr="005E2B51">
        <w:t>2.</w:t>
      </w:r>
      <w:r w:rsidRPr="005E2B51">
        <w:tab/>
        <w:t xml:space="preserve">Brookhart MA, Wang PS, Solomon DH, Schneeweiss S. Evaluating short-term drug effects using a physician-specific prescribing preference as an instrumental variable. </w:t>
      </w:r>
      <w:r w:rsidRPr="005E2B51">
        <w:rPr>
          <w:i/>
        </w:rPr>
        <w:t>Epidemiology</w:t>
      </w:r>
      <w:r w:rsidRPr="005E2B51">
        <w:t xml:space="preserve"> 2006;</w:t>
      </w:r>
      <w:r w:rsidRPr="005E2B51">
        <w:rPr>
          <w:b/>
        </w:rPr>
        <w:t>17</w:t>
      </w:r>
      <w:r w:rsidRPr="005E2B51">
        <w:t xml:space="preserve">:268-75. </w:t>
      </w:r>
      <w:hyperlink r:id="rId6" w:history="1">
        <w:r w:rsidRPr="005E2B51">
          <w:rPr>
            <w:rStyle w:val="Hyperlink"/>
          </w:rPr>
          <w:t>http://dx.doi.org/10.1097/01.ede.0000193606.58671.c5</w:t>
        </w:r>
      </w:hyperlink>
    </w:p>
    <w:p w:rsidR="005E2B51" w:rsidRPr="005E2B51" w:rsidRDefault="005E2B51" w:rsidP="005E2B51">
      <w:pPr>
        <w:pStyle w:val="EndNoteBibliography"/>
        <w:spacing w:after="0"/>
      </w:pPr>
      <w:r w:rsidRPr="005E2B51">
        <w:t>3.</w:t>
      </w:r>
      <w:r w:rsidRPr="005E2B51">
        <w:tab/>
        <w:t>Uddin MJ, Groenwold RH, de Boer A, Gardarsdottir H, Martin E, Candore G</w:t>
      </w:r>
      <w:r w:rsidRPr="005E2B51">
        <w:rPr>
          <w:i/>
        </w:rPr>
        <w:t>, et al.</w:t>
      </w:r>
      <w:r w:rsidRPr="005E2B51">
        <w:t xml:space="preserve"> Instrumental variables analysis using multiple databases: an example of antidepressant use and risk of hip fracture. </w:t>
      </w:r>
      <w:r w:rsidRPr="005E2B51">
        <w:rPr>
          <w:i/>
        </w:rPr>
        <w:t>Pharmacoepidemiol Drug Saf</w:t>
      </w:r>
      <w:r w:rsidRPr="005E2B51">
        <w:t xml:space="preserve"> 2016;</w:t>
      </w:r>
      <w:r w:rsidRPr="005E2B51">
        <w:rPr>
          <w:b/>
        </w:rPr>
        <w:t>25 Suppl 1</w:t>
      </w:r>
      <w:r w:rsidRPr="005E2B51">
        <w:t xml:space="preserve">:122-31. </w:t>
      </w:r>
      <w:hyperlink r:id="rId7" w:history="1">
        <w:r w:rsidRPr="005E2B51">
          <w:rPr>
            <w:rStyle w:val="Hyperlink"/>
          </w:rPr>
          <w:t>http://dx.doi.org/10.1002/pds.3863</w:t>
        </w:r>
      </w:hyperlink>
    </w:p>
    <w:p w:rsidR="005E2B51" w:rsidRPr="005E2B51" w:rsidRDefault="005E2B51" w:rsidP="005E2B51">
      <w:pPr>
        <w:pStyle w:val="EndNoteBibliography"/>
        <w:spacing w:after="0"/>
      </w:pPr>
      <w:r w:rsidRPr="005E2B51">
        <w:t>4.</w:t>
      </w:r>
      <w:r w:rsidRPr="005E2B51">
        <w:tab/>
        <w:t xml:space="preserve">Davies NM, Gunnell D, Thomas KH, Metcalfe C, Windmeijer F, Martin RM. Physicians' prescribing preferences were a potential instrument for patients' actual prescriptions of antidepressants. </w:t>
      </w:r>
      <w:r w:rsidRPr="005E2B51">
        <w:rPr>
          <w:i/>
        </w:rPr>
        <w:t>J Clin Epidemiol</w:t>
      </w:r>
      <w:r w:rsidRPr="005E2B51">
        <w:t xml:space="preserve"> 2013;</w:t>
      </w:r>
      <w:r w:rsidRPr="005E2B51">
        <w:rPr>
          <w:b/>
        </w:rPr>
        <w:t>66</w:t>
      </w:r>
      <w:r w:rsidRPr="005E2B51">
        <w:t xml:space="preserve">:1386-96. </w:t>
      </w:r>
      <w:hyperlink r:id="rId8" w:history="1">
        <w:r w:rsidRPr="005E2B51">
          <w:rPr>
            <w:rStyle w:val="Hyperlink"/>
          </w:rPr>
          <w:t>http://dx.doi.org/10.1016/j.jclinepi.2013.06.008</w:t>
        </w:r>
      </w:hyperlink>
    </w:p>
    <w:p w:rsidR="005E2B51" w:rsidRPr="005E2B51" w:rsidRDefault="005E2B51" w:rsidP="005E2B51">
      <w:pPr>
        <w:pStyle w:val="EndNoteBibliography"/>
        <w:spacing w:after="0"/>
      </w:pPr>
      <w:r w:rsidRPr="005E2B51">
        <w:t>5.</w:t>
      </w:r>
      <w:r w:rsidRPr="005E2B51">
        <w:tab/>
        <w:t xml:space="preserve">Lousdal ML. An introduction to instrumental variable assumptions, validation and estimation. </w:t>
      </w:r>
      <w:r w:rsidRPr="005E2B51">
        <w:rPr>
          <w:i/>
        </w:rPr>
        <w:t>Emerg Themes Epidemiol</w:t>
      </w:r>
      <w:r w:rsidRPr="005E2B51">
        <w:t xml:space="preserve"> 2018;</w:t>
      </w:r>
      <w:r w:rsidRPr="005E2B51">
        <w:rPr>
          <w:b/>
        </w:rPr>
        <w:t>15</w:t>
      </w:r>
      <w:r w:rsidRPr="005E2B51">
        <w:t xml:space="preserve">:1. </w:t>
      </w:r>
      <w:hyperlink r:id="rId9" w:history="1">
        <w:r w:rsidRPr="005E2B51">
          <w:rPr>
            <w:rStyle w:val="Hyperlink"/>
          </w:rPr>
          <w:t>http://dx.doi.org/10.1186/s12982-018-0069-7</w:t>
        </w:r>
      </w:hyperlink>
    </w:p>
    <w:p w:rsidR="005E2B51" w:rsidRPr="005E2B51" w:rsidRDefault="005E2B51" w:rsidP="005E2B51">
      <w:pPr>
        <w:pStyle w:val="EndNoteBibliography"/>
        <w:spacing w:after="0"/>
      </w:pPr>
      <w:r w:rsidRPr="005E2B51">
        <w:t>6.</w:t>
      </w:r>
      <w:r w:rsidRPr="005E2B51">
        <w:tab/>
        <w:t xml:space="preserve">Stock JH, Wright JH, Yogo M. A survey of weak instruments and weak identification in generalized method of moments. </w:t>
      </w:r>
      <w:r w:rsidRPr="005E2B51">
        <w:rPr>
          <w:i/>
        </w:rPr>
        <w:t>Journal of Business &amp; Economic Statistics</w:t>
      </w:r>
      <w:r w:rsidRPr="005E2B51">
        <w:t xml:space="preserve"> 2002;</w:t>
      </w:r>
      <w:r w:rsidRPr="005E2B51">
        <w:rPr>
          <w:b/>
        </w:rPr>
        <w:t>20</w:t>
      </w:r>
      <w:r w:rsidRPr="005E2B51">
        <w:t xml:space="preserve">:518-29. </w:t>
      </w:r>
      <w:hyperlink r:id="rId10" w:history="1">
        <w:r w:rsidRPr="005E2B51">
          <w:rPr>
            <w:rStyle w:val="Hyperlink"/>
          </w:rPr>
          <w:t>http://dx.doi.org/10.1198/073500102288618658</w:t>
        </w:r>
      </w:hyperlink>
    </w:p>
    <w:p w:rsidR="005E2B51" w:rsidRPr="005E2B51" w:rsidRDefault="005E2B51" w:rsidP="005E2B51">
      <w:pPr>
        <w:pStyle w:val="EndNoteBibliography"/>
      </w:pPr>
      <w:r w:rsidRPr="005E2B51">
        <w:t>7.</w:t>
      </w:r>
      <w:r w:rsidRPr="005E2B51">
        <w:tab/>
        <w:t xml:space="preserve">Austin PC. Using the Standardized Difference to Compare the Prevalence of a Binary Variable Between Two Groups in Observational Research. </w:t>
      </w:r>
      <w:r w:rsidRPr="005E2B51">
        <w:rPr>
          <w:i/>
        </w:rPr>
        <w:t>Communications in Statistics-Simulation and Computation</w:t>
      </w:r>
      <w:r w:rsidRPr="005E2B51">
        <w:t xml:space="preserve"> 2009;</w:t>
      </w:r>
      <w:r w:rsidRPr="005E2B51">
        <w:rPr>
          <w:b/>
        </w:rPr>
        <w:t>38</w:t>
      </w:r>
      <w:r w:rsidRPr="005E2B51">
        <w:t xml:space="preserve">:1228-34. </w:t>
      </w:r>
      <w:hyperlink r:id="rId11" w:history="1">
        <w:r w:rsidRPr="005E2B51">
          <w:rPr>
            <w:rStyle w:val="Hyperlink"/>
          </w:rPr>
          <w:t>http://dx.doi.org/Pii</w:t>
        </w:r>
      </w:hyperlink>
      <w:r w:rsidRPr="005E2B51">
        <w:t xml:space="preserve"> 910355371</w:t>
      </w:r>
    </w:p>
    <w:p w:rsidR="005E2B51" w:rsidRPr="005E2B51" w:rsidRDefault="005E2B51" w:rsidP="005E2B51">
      <w:pPr>
        <w:pStyle w:val="EndNoteBibliography"/>
        <w:spacing w:after="0"/>
      </w:pPr>
      <w:r w:rsidRPr="005E2B51">
        <w:t>10.1080/03610910902859574</w:t>
      </w:r>
    </w:p>
    <w:p w:rsidR="005E2B51" w:rsidRPr="005E2B51" w:rsidRDefault="005E2B51" w:rsidP="005E2B51">
      <w:pPr>
        <w:pStyle w:val="EndNoteBibliography"/>
      </w:pPr>
      <w:r w:rsidRPr="005E2B51">
        <w:t>8.</w:t>
      </w:r>
      <w:r w:rsidRPr="005E2B51">
        <w:tab/>
        <w:t xml:space="preserve">Baiocchi M, Cheng J, Small D. Instrumental variable methods for causal inference (vol 33, pg 2297, 2014). </w:t>
      </w:r>
      <w:r w:rsidRPr="005E2B51">
        <w:rPr>
          <w:i/>
        </w:rPr>
        <w:t>Statistics in Medicine</w:t>
      </w:r>
      <w:r w:rsidRPr="005E2B51">
        <w:t xml:space="preserve"> 2014;</w:t>
      </w:r>
      <w:r w:rsidRPr="005E2B51">
        <w:rPr>
          <w:b/>
        </w:rPr>
        <w:t>33</w:t>
      </w:r>
      <w:r w:rsidRPr="005E2B51">
        <w:t xml:space="preserve">:4859-60. </w:t>
      </w:r>
      <w:hyperlink r:id="rId12" w:history="1">
        <w:r w:rsidRPr="005E2B51">
          <w:rPr>
            <w:rStyle w:val="Hyperlink"/>
          </w:rPr>
          <w:t>http://dx.doi.org/10.1002/sim.6254</w:t>
        </w:r>
      </w:hyperlink>
    </w:p>
    <w:p w:rsidR="00DB3FAB" w:rsidRDefault="00CA361C" w:rsidP="00DB3FAB">
      <w:r>
        <w:fldChar w:fldCharType="end"/>
      </w:r>
    </w:p>
    <w:sectPr w:rsidR="00DB3F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IHR-Journals-Library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rv00tap0evrkewa2d5vst7ptz5wtrz0z0p&quot;&gt;Supplementary references&lt;record-ids&gt;&lt;item&gt;1&lt;/item&gt;&lt;item&gt;2&lt;/item&gt;&lt;item&gt;3&lt;/item&gt;&lt;item&gt;4&lt;/item&gt;&lt;item&gt;5&lt;/item&gt;&lt;item&gt;6&lt;/item&gt;&lt;item&gt;7&lt;/item&gt;&lt;item&gt;8&lt;/item&gt;&lt;/record-ids&gt;&lt;/item&gt;&lt;/Libraries&gt;"/>
  </w:docVars>
  <w:rsids>
    <w:rsidRoot w:val="00DB3FAB"/>
    <w:rsid w:val="001F2139"/>
    <w:rsid w:val="005966A2"/>
    <w:rsid w:val="005B23BC"/>
    <w:rsid w:val="005E2B51"/>
    <w:rsid w:val="009605ED"/>
    <w:rsid w:val="009A0E4D"/>
    <w:rsid w:val="00C56559"/>
    <w:rsid w:val="00C97829"/>
    <w:rsid w:val="00CA361C"/>
    <w:rsid w:val="00DB3FAB"/>
    <w:rsid w:val="00DD5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5453"/>
  <w15:chartTrackingRefBased/>
  <w15:docId w15:val="{A84940BF-1351-40C0-8DD8-E7817A34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DB3FAB"/>
    <w:pPr>
      <w:keepNext/>
      <w:keepLines/>
      <w:spacing w:before="40" w:after="0" w:line="360" w:lineRule="auto"/>
      <w:outlineLvl w:val="2"/>
    </w:pPr>
    <w:rPr>
      <w:rFonts w:asciiTheme="majorHAnsi" w:eastAsiaTheme="majorEastAsia" w:hAnsiTheme="majorHAnsi" w:cstheme="majorBidi"/>
      <w:color w:val="1F4D78" w:themeColor="accent1" w:themeShade="7F"/>
      <w:sz w:val="26"/>
      <w:szCs w:val="24"/>
      <w:lang w:val="en-US"/>
    </w:rPr>
  </w:style>
  <w:style w:type="paragraph" w:styleId="Heading5">
    <w:name w:val="heading 5"/>
    <w:basedOn w:val="Normal"/>
    <w:next w:val="Normal"/>
    <w:link w:val="Heading5Char"/>
    <w:unhideWhenUsed/>
    <w:qFormat/>
    <w:rsid w:val="00DB3FAB"/>
    <w:pPr>
      <w:keepNext/>
      <w:keepLines/>
      <w:spacing w:before="40" w:after="0" w:line="360" w:lineRule="auto"/>
      <w:outlineLvl w:val="4"/>
    </w:pPr>
    <w:rPr>
      <w:rFonts w:asciiTheme="majorHAnsi" w:eastAsiaTheme="majorEastAsia" w:hAnsiTheme="majorHAnsi" w:cstheme="majorBidi"/>
      <w:color w:val="2E74B5" w:themeColor="accent1" w:themeShade="BF"/>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3FAB"/>
    <w:rPr>
      <w:rFonts w:asciiTheme="majorHAnsi" w:eastAsiaTheme="majorEastAsia" w:hAnsiTheme="majorHAnsi" w:cstheme="majorBidi"/>
      <w:color w:val="1F4D78" w:themeColor="accent1" w:themeShade="7F"/>
      <w:sz w:val="26"/>
      <w:szCs w:val="24"/>
      <w:lang w:val="en-US"/>
    </w:rPr>
  </w:style>
  <w:style w:type="character" w:customStyle="1" w:styleId="Heading5Char">
    <w:name w:val="Heading 5 Char"/>
    <w:basedOn w:val="DefaultParagraphFont"/>
    <w:link w:val="Heading5"/>
    <w:rsid w:val="00DB3FAB"/>
    <w:rPr>
      <w:rFonts w:asciiTheme="majorHAnsi" w:eastAsiaTheme="majorEastAsia" w:hAnsiTheme="majorHAnsi" w:cstheme="majorBidi"/>
      <w:color w:val="2E74B5" w:themeColor="accent1" w:themeShade="BF"/>
      <w:sz w:val="24"/>
      <w:lang w:val="en-US"/>
    </w:rPr>
  </w:style>
  <w:style w:type="paragraph" w:styleId="Caption">
    <w:name w:val="caption"/>
    <w:basedOn w:val="Normal"/>
    <w:next w:val="Normal"/>
    <w:unhideWhenUsed/>
    <w:qFormat/>
    <w:rsid w:val="00DB3FAB"/>
    <w:pPr>
      <w:spacing w:after="200" w:line="240" w:lineRule="auto"/>
    </w:pPr>
    <w:rPr>
      <w:rFonts w:cstheme="minorHAnsi"/>
      <w:i/>
      <w:iCs/>
      <w:sz w:val="24"/>
      <w:szCs w:val="18"/>
      <w:lang w:val="en-US"/>
    </w:rPr>
  </w:style>
  <w:style w:type="paragraph" w:styleId="TableofFigures">
    <w:name w:val="table of figures"/>
    <w:basedOn w:val="Normal"/>
    <w:next w:val="Normal"/>
    <w:uiPriority w:val="99"/>
    <w:unhideWhenUsed/>
    <w:rsid w:val="00DB3FAB"/>
    <w:pPr>
      <w:spacing w:after="0"/>
    </w:pPr>
  </w:style>
  <w:style w:type="character" w:styleId="Hyperlink">
    <w:name w:val="Hyperlink"/>
    <w:basedOn w:val="DefaultParagraphFont"/>
    <w:uiPriority w:val="99"/>
    <w:unhideWhenUsed/>
    <w:rsid w:val="00DB3FAB"/>
    <w:rPr>
      <w:color w:val="0563C1" w:themeColor="hyperlink"/>
      <w:u w:val="single"/>
    </w:rPr>
  </w:style>
  <w:style w:type="paragraph" w:customStyle="1" w:styleId="EndNoteBibliographyTitle">
    <w:name w:val="EndNote Bibliography Title"/>
    <w:basedOn w:val="Normal"/>
    <w:link w:val="EndNoteBibliographyTitleChar"/>
    <w:rsid w:val="00CA361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A361C"/>
    <w:rPr>
      <w:rFonts w:ascii="Calibri" w:hAnsi="Calibri" w:cs="Calibri"/>
      <w:noProof/>
      <w:lang w:val="en-US"/>
    </w:rPr>
  </w:style>
  <w:style w:type="paragraph" w:customStyle="1" w:styleId="EndNoteBibliography">
    <w:name w:val="EndNote Bibliography"/>
    <w:basedOn w:val="Normal"/>
    <w:link w:val="EndNoteBibliographyChar"/>
    <w:rsid w:val="00CA361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A361C"/>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jclinepi.2013.06.0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02/pds.3863" TargetMode="External"/><Relationship Id="rId12" Type="http://schemas.openxmlformats.org/officeDocument/2006/relationships/hyperlink" Target="http://dx.doi.org/10.1002/sim.625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x.doi.org/10.1097/01.ede.0000193606.58671.c5" TargetMode="External"/><Relationship Id="rId11" Type="http://schemas.openxmlformats.org/officeDocument/2006/relationships/hyperlink" Target="http://dx.doi.org/Pii" TargetMode="External"/><Relationship Id="rId5" Type="http://schemas.openxmlformats.org/officeDocument/2006/relationships/hyperlink" Target="http://dx.doi.org/10.1002/pds.4158" TargetMode="External"/><Relationship Id="rId10" Type="http://schemas.openxmlformats.org/officeDocument/2006/relationships/hyperlink" Target="http://dx.doi.org/10.1198/073500102288618658" TargetMode="External"/><Relationship Id="rId4" Type="http://schemas.openxmlformats.org/officeDocument/2006/relationships/webSettings" Target="webSettings.xml"/><Relationship Id="rId9" Type="http://schemas.openxmlformats.org/officeDocument/2006/relationships/hyperlink" Target="http://dx.doi.org/10.1186/s12982-018-006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4BDD3-B95F-49CE-852E-29561AB4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3094</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Boyd (INT - Staff)</dc:creator>
  <cp:keywords/>
  <dc:description/>
  <cp:lastModifiedBy>Kathryn Richardson (HSC - Visitor)</cp:lastModifiedBy>
  <cp:revision>5</cp:revision>
  <dcterms:created xsi:type="dcterms:W3CDTF">2019-06-04T13:46:00Z</dcterms:created>
  <dcterms:modified xsi:type="dcterms:W3CDTF">2019-06-04T14:58:00Z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-955190436</vt:i4>
  </property>
  <property fmtid="{D5CDD505-2E9C-101B-9397-08002B2CF9AE}" pid="3" name="_NewReviewCycle">
    <vt:lpwstr/>
  </property>
  <property fmtid="{D5CDD505-2E9C-101B-9397-08002B2CF9AE}" pid="4" name="_EmailSubject">
    <vt:lpwstr>NIHR Journals Library HTA 14/221/02 Final Report Revision Requested</vt:lpwstr>
  </property>
  <property fmtid="{D5CDD505-2E9C-101B-9397-08002B2CF9AE}" pid="5" name="_AuthorEmail">
    <vt:lpwstr>P.Boyd@uea.ac.uk</vt:lpwstr>
  </property>
  <property fmtid="{D5CDD505-2E9C-101B-9397-08002B2CF9AE}" pid="6" name="_AuthorEmailDisplayName">
    <vt:lpwstr>Penelope Boyd (INT - Staff)</vt:lpwstr>
  </property>
  <property fmtid="{D5CDD505-2E9C-101B-9397-08002B2CF9AE}" pid="7" name="_ReviewingToolsShownOnce">
    <vt:lpwstr/>
  </property>
</Properties>
</file>