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0F17E" w14:textId="5A60B33A" w:rsidR="00B51E32" w:rsidRPr="00B51E32" w:rsidRDefault="00B51E32" w:rsidP="00E4005F">
      <w:pPr>
        <w:jc w:val="both"/>
        <w:rPr>
          <w:rFonts w:cs="Times New Roman"/>
          <w:b/>
        </w:rPr>
      </w:pPr>
      <w:r>
        <w:rPr>
          <w:rFonts w:cs="Times New Roman"/>
          <w:b/>
        </w:rPr>
        <w:t>Report Supplementary Materials 1</w:t>
      </w:r>
      <w:r w:rsidR="0007780E">
        <w:rPr>
          <w:rFonts w:cs="Times New Roman"/>
          <w:b/>
        </w:rPr>
        <w:t>5</w:t>
      </w:r>
    </w:p>
    <w:p w14:paraId="725D2372" w14:textId="77777777" w:rsidR="007B27F2" w:rsidRPr="00F53CE4" w:rsidRDefault="00F53CE4" w:rsidP="00E4005F">
      <w:pPr>
        <w:jc w:val="both"/>
      </w:pPr>
      <w:r w:rsidRPr="00F53CE4">
        <w:t>CASE STUDY OF VA</w:t>
      </w:r>
      <w:r w:rsidR="00E4005F">
        <w:t>SCULAR SERVICE RECONFIGURATION</w:t>
      </w:r>
      <w:r>
        <w:t>-</w:t>
      </w:r>
      <w:r w:rsidRPr="00F53CE4">
        <w:t xml:space="preserve"> AN ANALYSIS OF HES DATA BETWEEN 2006</w:t>
      </w:r>
      <w:r w:rsidR="008826BC">
        <w:t>/</w:t>
      </w:r>
      <w:r w:rsidRPr="00F53CE4">
        <w:t>07 AND 2017</w:t>
      </w:r>
      <w:r w:rsidR="008826BC">
        <w:t>/</w:t>
      </w:r>
      <w:r w:rsidRPr="00F53CE4">
        <w:t>18</w:t>
      </w:r>
      <w:r w:rsidR="00E4005F" w:rsidRPr="00E4005F">
        <w:t xml:space="preserve"> </w:t>
      </w:r>
      <w:r w:rsidR="00E4005F">
        <w:t>OF YORKSHIRE AND THE HUMBER REGION</w:t>
      </w:r>
    </w:p>
    <w:p w14:paraId="7A25C0D9" w14:textId="77777777" w:rsidR="00DD13E4" w:rsidRDefault="00DD13E4">
      <w:pPr>
        <w:rPr>
          <w:b/>
        </w:rPr>
      </w:pPr>
    </w:p>
    <w:p w14:paraId="15644F87" w14:textId="77777777" w:rsidR="00A1701E" w:rsidRDefault="00A1701E" w:rsidP="00A1701E">
      <w:pPr>
        <w:pStyle w:val="ListParagraph"/>
        <w:ind w:left="360"/>
      </w:pPr>
    </w:p>
    <w:p w14:paraId="444BA9E9" w14:textId="77777777" w:rsidR="00F53CE4" w:rsidRDefault="00F53CE4" w:rsidP="00F53CE4">
      <w:pPr>
        <w:pStyle w:val="ListParagraph"/>
        <w:numPr>
          <w:ilvl w:val="0"/>
          <w:numId w:val="7"/>
        </w:numPr>
        <w:spacing w:after="0" w:line="360" w:lineRule="auto"/>
        <w:ind w:left="357" w:hanging="357"/>
      </w:pPr>
      <w:r>
        <w:t>INTRODUCTION</w:t>
      </w:r>
    </w:p>
    <w:p w14:paraId="25C22E81" w14:textId="77777777" w:rsidR="00F53CE4" w:rsidRDefault="00F53CE4" w:rsidP="008826BC">
      <w:pPr>
        <w:spacing w:line="360" w:lineRule="auto"/>
        <w:jc w:val="both"/>
      </w:pPr>
      <w:r>
        <w:t xml:space="preserve">This study aims to </w:t>
      </w:r>
      <w:r w:rsidR="008826BC">
        <w:t>understand the impact of vascular service reconfiguration</w:t>
      </w:r>
      <w:r>
        <w:t xml:space="preserve"> using analyses from HES data </w:t>
      </w:r>
      <w:r w:rsidR="008826BC">
        <w:t>of Yorkshire and Humber region from 2006/07 to 2017/18</w:t>
      </w:r>
      <w:r>
        <w:t xml:space="preserve">. </w:t>
      </w:r>
    </w:p>
    <w:p w14:paraId="257EE30E" w14:textId="77777777" w:rsidR="00F53CE4" w:rsidRDefault="00F53CE4" w:rsidP="00F53CE4">
      <w:pPr>
        <w:spacing w:line="360" w:lineRule="auto"/>
      </w:pPr>
    </w:p>
    <w:p w14:paraId="0FD961E9" w14:textId="77777777" w:rsidR="00DD13E4" w:rsidRDefault="008826BC" w:rsidP="008826BC">
      <w:pPr>
        <w:pStyle w:val="ListParagraph"/>
        <w:numPr>
          <w:ilvl w:val="0"/>
          <w:numId w:val="7"/>
        </w:numPr>
        <w:spacing w:after="0" w:line="360" w:lineRule="auto"/>
        <w:ind w:left="357" w:hanging="357"/>
      </w:pPr>
      <w:r>
        <w:t xml:space="preserve">OVERVIEW OF AAA SERVICES AND RECONFIGURATIONS IN YORKSHIRE AND THE HUMBER </w:t>
      </w:r>
      <w:r w:rsidR="002D4BA4">
        <w:t xml:space="preserve"> </w:t>
      </w:r>
    </w:p>
    <w:p w14:paraId="218DE89C" w14:textId="77777777" w:rsidR="0086375C" w:rsidRDefault="0086375C" w:rsidP="0086375C">
      <w:pPr>
        <w:spacing w:after="0" w:line="240" w:lineRule="auto"/>
        <w:jc w:val="both"/>
      </w:pPr>
    </w:p>
    <w:p w14:paraId="5C216EA7" w14:textId="77777777" w:rsidR="008826BC" w:rsidRDefault="0029586D" w:rsidP="008826BC">
      <w:pPr>
        <w:spacing w:line="360" w:lineRule="auto"/>
        <w:jc w:val="both"/>
      </w:pPr>
      <w:r>
        <w:t>Yorkshire and the Humber region covers t</w:t>
      </w:r>
      <w:r w:rsidR="00CF5F80">
        <w:t>he area shown on the map below (</w:t>
      </w:r>
      <w:r w:rsidR="00915FD6">
        <w:fldChar w:fldCharType="begin"/>
      </w:r>
      <w:r w:rsidR="00915FD6">
        <w:instrText xml:space="preserve"> REF _Ref8376678 \h </w:instrText>
      </w:r>
      <w:r w:rsidR="00915FD6">
        <w:fldChar w:fldCharType="separate"/>
      </w:r>
      <w:r w:rsidR="00915FD6">
        <w:t xml:space="preserve">Figure </w:t>
      </w:r>
      <w:r w:rsidR="00915FD6">
        <w:rPr>
          <w:noProof/>
        </w:rPr>
        <w:t>1</w:t>
      </w:r>
      <w:r w:rsidR="00915FD6">
        <w:fldChar w:fldCharType="end"/>
      </w:r>
      <w:r w:rsidR="00CF5F80">
        <w:t>).</w:t>
      </w:r>
      <w:r w:rsidR="008826BC">
        <w:t xml:space="preserve"> At the beginning of the data (2006/07), there were 12 active sites in the region that provided AAA services. </w:t>
      </w:r>
      <w:r w:rsidR="008826BC">
        <w:fldChar w:fldCharType="begin"/>
      </w:r>
      <w:r w:rsidR="008826BC">
        <w:instrText xml:space="preserve"> REF _Ref8376727 \h </w:instrText>
      </w:r>
      <w:r w:rsidR="008826BC">
        <w:fldChar w:fldCharType="separate"/>
      </w:r>
      <w:r w:rsidR="008826BC">
        <w:t xml:space="preserve">Table </w:t>
      </w:r>
      <w:r w:rsidR="008826BC">
        <w:rPr>
          <w:noProof/>
        </w:rPr>
        <w:t>1</w:t>
      </w:r>
      <w:r w:rsidR="008826BC">
        <w:fldChar w:fldCharType="end"/>
      </w:r>
      <w:r w:rsidR="008826BC">
        <w:t xml:space="preserve"> presents the number of AAA repairs for each site between 2006/07 and 2017/18. </w:t>
      </w:r>
    </w:p>
    <w:p w14:paraId="099EEF89" w14:textId="77777777" w:rsidR="00915FD6" w:rsidRDefault="00915FD6" w:rsidP="0029586D"/>
    <w:p w14:paraId="31581FB4" w14:textId="77777777" w:rsidR="0029586D" w:rsidRDefault="00915FD6" w:rsidP="00915FD6">
      <w:pPr>
        <w:pStyle w:val="Caption"/>
      </w:pPr>
      <w:bookmarkStart w:id="0" w:name="_Ref8376678"/>
      <w:bookmarkStart w:id="1" w:name="_Ref8376672"/>
      <w:r>
        <w:t xml:space="preserve">Figure </w:t>
      </w:r>
      <w:r w:rsidR="005C3A38">
        <w:rPr>
          <w:noProof/>
        </w:rPr>
        <w:fldChar w:fldCharType="begin"/>
      </w:r>
      <w:r w:rsidR="005C3A38">
        <w:rPr>
          <w:noProof/>
        </w:rPr>
        <w:instrText xml:space="preserve"> SEQ Figure \* ARABIC </w:instrText>
      </w:r>
      <w:r w:rsidR="005C3A38">
        <w:rPr>
          <w:noProof/>
        </w:rPr>
        <w:fldChar w:fldCharType="separate"/>
      </w:r>
      <w:r w:rsidR="007240CB">
        <w:rPr>
          <w:noProof/>
        </w:rPr>
        <w:t>1</w:t>
      </w:r>
      <w:r w:rsidR="005C3A38">
        <w:rPr>
          <w:noProof/>
        </w:rPr>
        <w:fldChar w:fldCharType="end"/>
      </w:r>
      <w:bookmarkEnd w:id="0"/>
      <w:r w:rsidR="00CF5F80">
        <w:t xml:space="preserve"> </w:t>
      </w:r>
      <w:r>
        <w:t>: Yorkshire and the Humber region</w:t>
      </w:r>
      <w:bookmarkEnd w:id="1"/>
    </w:p>
    <w:p w14:paraId="1CC51A6E" w14:textId="77777777" w:rsidR="0029586D" w:rsidRDefault="0029586D" w:rsidP="0029586D">
      <w:r>
        <w:rPr>
          <w:noProof/>
          <w:lang w:eastAsia="zh-CN"/>
        </w:rPr>
        <w:drawing>
          <wp:inline distT="0" distB="0" distL="0" distR="0" wp14:anchorId="6B4933AB" wp14:editId="7250200D">
            <wp:extent cx="3579340" cy="334800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Hmap.png"/>
                    <pic:cNvPicPr/>
                  </pic:nvPicPr>
                  <pic:blipFill>
                    <a:blip r:embed="rId8">
                      <a:extLst>
                        <a:ext uri="{28A0092B-C50C-407E-A947-70E740481C1C}">
                          <a14:useLocalDpi xmlns:a14="http://schemas.microsoft.com/office/drawing/2010/main" val="0"/>
                        </a:ext>
                      </a:extLst>
                    </a:blip>
                    <a:stretch>
                      <a:fillRect/>
                    </a:stretch>
                  </pic:blipFill>
                  <pic:spPr>
                    <a:xfrm>
                      <a:off x="0" y="0"/>
                      <a:ext cx="3579340" cy="3348000"/>
                    </a:xfrm>
                    <a:prstGeom prst="rect">
                      <a:avLst/>
                    </a:prstGeom>
                  </pic:spPr>
                </pic:pic>
              </a:graphicData>
            </a:graphic>
          </wp:inline>
        </w:drawing>
      </w:r>
    </w:p>
    <w:p w14:paraId="50939FDD" w14:textId="77777777" w:rsidR="00CF5F80" w:rsidRDefault="0029586D" w:rsidP="008826BC">
      <w:pPr>
        <w:sectPr w:rsidR="00CF5F80">
          <w:pgSz w:w="11906" w:h="16838"/>
          <w:pgMar w:top="1440" w:right="1440" w:bottom="1440" w:left="1440" w:header="708" w:footer="708" w:gutter="0"/>
          <w:cols w:space="708"/>
          <w:docGrid w:linePitch="360"/>
        </w:sectPr>
      </w:pPr>
      <w:r w:rsidRPr="00F53CE4">
        <w:rPr>
          <w:lang w:val="fr-FR"/>
        </w:rPr>
        <w:t xml:space="preserve">(Source: </w:t>
      </w:r>
      <w:hyperlink r:id="rId9" w:history="1">
        <w:r w:rsidRPr="00F53CE4">
          <w:rPr>
            <w:rStyle w:val="Hyperlink"/>
            <w:lang w:val="fr-FR"/>
          </w:rPr>
          <w:t>https://www.youthworkunit.com/overview-of-the-region/</w:t>
        </w:r>
      </w:hyperlink>
      <w:r w:rsidRPr="00F53CE4">
        <w:rPr>
          <w:lang w:val="fr-FR"/>
        </w:rPr>
        <w:t>)</w:t>
      </w:r>
    </w:p>
    <w:p w14:paraId="4A68BA13" w14:textId="77777777" w:rsidR="00CF5F80" w:rsidRDefault="00915FD6" w:rsidP="00915FD6">
      <w:pPr>
        <w:pStyle w:val="Caption"/>
      </w:pPr>
      <w:bookmarkStart w:id="2" w:name="_Ref8376727"/>
      <w:bookmarkStart w:id="3" w:name="_Ref8376722"/>
      <w:r>
        <w:lastRenderedPageBreak/>
        <w:t xml:space="preserve">Table </w:t>
      </w:r>
      <w:r w:rsidR="005C3A38">
        <w:rPr>
          <w:noProof/>
        </w:rPr>
        <w:fldChar w:fldCharType="begin"/>
      </w:r>
      <w:r w:rsidR="005C3A38">
        <w:rPr>
          <w:noProof/>
        </w:rPr>
        <w:instrText xml:space="preserve"> SEQ Table \* ARABIC </w:instrText>
      </w:r>
      <w:r w:rsidR="005C3A38">
        <w:rPr>
          <w:noProof/>
        </w:rPr>
        <w:fldChar w:fldCharType="separate"/>
      </w:r>
      <w:r w:rsidR="005F4083">
        <w:rPr>
          <w:noProof/>
        </w:rPr>
        <w:t>1</w:t>
      </w:r>
      <w:r w:rsidR="005C3A38">
        <w:rPr>
          <w:noProof/>
        </w:rPr>
        <w:fldChar w:fldCharType="end"/>
      </w:r>
      <w:bookmarkEnd w:id="2"/>
      <w:r>
        <w:t>: Number of AAA repairs by site between 200607 and 201718</w:t>
      </w:r>
      <w:bookmarkEnd w:id="3"/>
    </w:p>
    <w:p w14:paraId="2EB74E1C" w14:textId="77777777" w:rsidR="00CF5F80" w:rsidRDefault="00CF5F80" w:rsidP="0029586D">
      <w:r w:rsidRPr="00CF5F80">
        <w:rPr>
          <w:noProof/>
          <w:lang w:eastAsia="zh-CN"/>
        </w:rPr>
        <w:drawing>
          <wp:inline distT="0" distB="0" distL="0" distR="0" wp14:anchorId="06EA9986" wp14:editId="71105476">
            <wp:extent cx="8863330" cy="218444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3330" cy="2184447"/>
                    </a:xfrm>
                    <a:prstGeom prst="rect">
                      <a:avLst/>
                    </a:prstGeom>
                    <a:noFill/>
                    <a:ln>
                      <a:noFill/>
                    </a:ln>
                  </pic:spPr>
                </pic:pic>
              </a:graphicData>
            </a:graphic>
          </wp:inline>
        </w:drawing>
      </w:r>
    </w:p>
    <w:p w14:paraId="493C4E88" w14:textId="77777777" w:rsidR="00CF5F80" w:rsidRDefault="00CF5F80" w:rsidP="0029586D"/>
    <w:p w14:paraId="299D8063" w14:textId="77777777" w:rsidR="00CF5F80" w:rsidRDefault="00CF5F80" w:rsidP="0029586D"/>
    <w:p w14:paraId="1A532CA9" w14:textId="77777777" w:rsidR="00CF5F80" w:rsidRDefault="00CF5F80" w:rsidP="0029586D"/>
    <w:p w14:paraId="03E508F2" w14:textId="77777777" w:rsidR="00CF5F80" w:rsidRDefault="00CF5F80" w:rsidP="0029586D"/>
    <w:p w14:paraId="0494CC36" w14:textId="77777777" w:rsidR="00CF5F80" w:rsidRDefault="00CF5F80" w:rsidP="0029586D"/>
    <w:p w14:paraId="5B6AF21B" w14:textId="77777777" w:rsidR="00CF5F80" w:rsidRDefault="00CF5F80" w:rsidP="0029586D"/>
    <w:p w14:paraId="30D6E262" w14:textId="77777777" w:rsidR="00CF5F80" w:rsidRDefault="00CF5F80" w:rsidP="0029586D"/>
    <w:p w14:paraId="3EB784A5" w14:textId="77777777" w:rsidR="00CF5F80" w:rsidRDefault="00CF5F80" w:rsidP="0029586D"/>
    <w:p w14:paraId="21688CE1" w14:textId="77777777" w:rsidR="00CF5F80" w:rsidRDefault="00CF5F80" w:rsidP="0029586D"/>
    <w:p w14:paraId="42F14C89" w14:textId="77777777" w:rsidR="00CF5F80" w:rsidRDefault="00CF5F80" w:rsidP="0029586D"/>
    <w:p w14:paraId="3E11F178" w14:textId="77777777" w:rsidR="00CF5F80" w:rsidRDefault="00CF5F80" w:rsidP="0029586D">
      <w:pPr>
        <w:sectPr w:rsidR="00CF5F80" w:rsidSect="00CF5F80">
          <w:pgSz w:w="16838" w:h="11906" w:orient="landscape"/>
          <w:pgMar w:top="1440" w:right="1440" w:bottom="1440" w:left="1440" w:header="709" w:footer="709" w:gutter="0"/>
          <w:cols w:space="708"/>
          <w:docGrid w:linePitch="360"/>
        </w:sectPr>
      </w:pPr>
    </w:p>
    <w:p w14:paraId="5169704B" w14:textId="77777777" w:rsidR="008826BC" w:rsidRDefault="00F14AF4" w:rsidP="00344B61">
      <w:pPr>
        <w:spacing w:line="360" w:lineRule="auto"/>
        <w:jc w:val="both"/>
      </w:pPr>
      <w:r>
        <w:lastRenderedPageBreak/>
        <w:t xml:space="preserve">As </w:t>
      </w:r>
      <w:r w:rsidR="00344B61">
        <w:t>s</w:t>
      </w:r>
      <w:r>
        <w:t>een</w:t>
      </w:r>
      <w:r w:rsidR="00344B61">
        <w:t xml:space="preserve"> in Table 1</w:t>
      </w:r>
      <w:r>
        <w:t>, the three biggest centres (AAA volume &gt;= 100 cases per year) in the region are Sheffield (Northern General Hospital), Leeds (Leeds General Hospital), and Hull (Hull Royal Hospital). The</w:t>
      </w:r>
      <w:r w:rsidR="008826BC">
        <w:t>re are</w:t>
      </w:r>
      <w:r>
        <w:t xml:space="preserve"> two centres with moderate </w:t>
      </w:r>
      <w:r w:rsidR="00A27CAA">
        <w:t xml:space="preserve">AAA volume (60 =&lt; AAA volume </w:t>
      </w:r>
      <w:r>
        <w:t>&lt; 100</w:t>
      </w:r>
      <w:r w:rsidR="00A27CAA">
        <w:t>)</w:t>
      </w:r>
      <w:r>
        <w:t xml:space="preserve"> are York (York Hospital) and Doncaster (Doncaster Royal Infirmary). </w:t>
      </w:r>
      <w:r w:rsidR="00A27CAA">
        <w:t>The</w:t>
      </w:r>
      <w:r w:rsidR="008826BC">
        <w:t>re are</w:t>
      </w:r>
      <w:r w:rsidR="00A27CAA">
        <w:t xml:space="preserve"> three centres with low-moderate AAA volume (30 &lt;= AAA volume &lt; 60) are Bradford (Bradford Royal Hospital), Huddersfield (Huddersfield Royal Hospital), and Wakefield (</w:t>
      </w:r>
      <w:proofErr w:type="spellStart"/>
      <w:r w:rsidR="00A27CAA">
        <w:t>Pindersfield</w:t>
      </w:r>
      <w:proofErr w:type="spellEnd"/>
      <w:r w:rsidR="00A27CAA">
        <w:t xml:space="preserve"> Hospital – </w:t>
      </w:r>
      <w:r w:rsidR="00A27CAA" w:rsidRPr="00A27CAA">
        <w:rPr>
          <w:color w:val="FF0000"/>
        </w:rPr>
        <w:t>closed in 201314</w:t>
      </w:r>
      <w:r w:rsidR="00A27CAA">
        <w:t xml:space="preserve">). The two centres with low AAA volume (10 &lt;= AAA volume &lt; 30) are Harrogate (Harrogate District Hospital </w:t>
      </w:r>
      <w:r w:rsidR="00A27CAA" w:rsidRPr="00A27CAA">
        <w:rPr>
          <w:color w:val="FF0000"/>
        </w:rPr>
        <w:t>– closed in 200708</w:t>
      </w:r>
      <w:r w:rsidR="00A27CAA">
        <w:t xml:space="preserve">), Scarborough (Scarborough Hospital </w:t>
      </w:r>
      <w:r w:rsidR="00A27CAA" w:rsidRPr="00A27CAA">
        <w:rPr>
          <w:color w:val="FF0000"/>
        </w:rPr>
        <w:t>– closed in 200910</w:t>
      </w:r>
      <w:r w:rsidR="00A27CAA">
        <w:t xml:space="preserve">), and North East Lincolnshire (Diana </w:t>
      </w:r>
      <w:proofErr w:type="spellStart"/>
      <w:r w:rsidR="00A27CAA">
        <w:t>Pricess</w:t>
      </w:r>
      <w:proofErr w:type="spellEnd"/>
      <w:r w:rsidR="00A27CAA">
        <w:t xml:space="preserve"> of Wales Hospital – </w:t>
      </w:r>
      <w:r w:rsidR="00A27CAA" w:rsidRPr="00A27CAA">
        <w:rPr>
          <w:color w:val="FF0000"/>
        </w:rPr>
        <w:t>closed in 201112</w:t>
      </w:r>
      <w:r w:rsidR="00A27CAA">
        <w:t xml:space="preserve">). And the one centre with very low AAA volume (&lt; 10 cases per year) is Airedale (Airedale General Hospital – </w:t>
      </w:r>
      <w:r w:rsidR="008826BC">
        <w:t xml:space="preserve"> </w:t>
      </w:r>
      <w:r w:rsidR="00A27CAA" w:rsidRPr="00A27CAA">
        <w:rPr>
          <w:color w:val="FF0000"/>
        </w:rPr>
        <w:t>closed in 201112</w:t>
      </w:r>
      <w:r w:rsidR="00A27CAA">
        <w:t xml:space="preserve">). </w:t>
      </w:r>
    </w:p>
    <w:p w14:paraId="5505D612" w14:textId="77777777" w:rsidR="00F14AF4" w:rsidRDefault="00A27CAA" w:rsidP="0050175A">
      <w:pPr>
        <w:spacing w:line="360" w:lineRule="auto"/>
        <w:jc w:val="both"/>
      </w:pPr>
      <w:r>
        <w:t>T</w:t>
      </w:r>
      <w:r w:rsidR="00F14AF4">
        <w:t>he data showed that there were five reconfigurations</w:t>
      </w:r>
      <w:r>
        <w:t xml:space="preserve"> (site closure)</w:t>
      </w:r>
      <w:r w:rsidR="00F14AF4">
        <w:t xml:space="preserve"> of AAA services that</w:t>
      </w:r>
      <w:r>
        <w:t xml:space="preserve"> took place in different years. </w:t>
      </w:r>
      <w:r w:rsidR="00915FD6">
        <w:fldChar w:fldCharType="begin"/>
      </w:r>
      <w:r w:rsidR="00915FD6">
        <w:instrText xml:space="preserve"> REF _Ref8376763 \h </w:instrText>
      </w:r>
      <w:r w:rsidR="00915FD6">
        <w:fldChar w:fldCharType="separate"/>
      </w:r>
      <w:r w:rsidR="00915FD6">
        <w:t xml:space="preserve">Table </w:t>
      </w:r>
      <w:r w:rsidR="00915FD6">
        <w:rPr>
          <w:noProof/>
        </w:rPr>
        <w:t>2</w:t>
      </w:r>
      <w:r w:rsidR="00915FD6">
        <w:fldChar w:fldCharType="end"/>
      </w:r>
      <w:r w:rsidR="00F14AF4">
        <w:t xml:space="preserve"> give</w:t>
      </w:r>
      <w:r>
        <w:t xml:space="preserve">s a summary </w:t>
      </w:r>
      <w:r w:rsidR="00F14AF4">
        <w:t>of AAA sites in the region and the re</w:t>
      </w:r>
      <w:r>
        <w:t xml:space="preserve">configurations that </w:t>
      </w:r>
      <w:r w:rsidR="00A1701E">
        <w:t>were revealed from the data</w:t>
      </w:r>
      <w:r w:rsidR="00F14AF4">
        <w:t xml:space="preserve">.  </w:t>
      </w:r>
      <w:r w:rsidR="0050175A">
        <w:t>The first closure was in Harrogate in 200708, the second was in Scarborough in 200910, then two (Airedale and NE Lincolnshire) in 201112 and the final closure was in Wakefield in 201314.</w:t>
      </w:r>
    </w:p>
    <w:p w14:paraId="5BF24ECC" w14:textId="77777777" w:rsidR="00E61BC2" w:rsidRDefault="00E61BC2" w:rsidP="008826BC">
      <w:pPr>
        <w:spacing w:line="360" w:lineRule="auto"/>
        <w:jc w:val="both"/>
      </w:pPr>
    </w:p>
    <w:p w14:paraId="79C5D547" w14:textId="77777777" w:rsidR="002D4BA4" w:rsidRPr="00A1701E" w:rsidRDefault="00915FD6" w:rsidP="00915FD6">
      <w:pPr>
        <w:pStyle w:val="Caption"/>
        <w:rPr>
          <w:sz w:val="24"/>
        </w:rPr>
      </w:pPr>
      <w:bookmarkStart w:id="4" w:name="_Ref8376763"/>
      <w:r>
        <w:t xml:space="preserve">Table </w:t>
      </w:r>
      <w:r w:rsidR="005C3A38">
        <w:rPr>
          <w:noProof/>
        </w:rPr>
        <w:fldChar w:fldCharType="begin"/>
      </w:r>
      <w:r w:rsidR="005C3A38">
        <w:rPr>
          <w:noProof/>
        </w:rPr>
        <w:instrText xml:space="preserve"> SEQ Table \* ARABIC </w:instrText>
      </w:r>
      <w:r w:rsidR="005C3A38">
        <w:rPr>
          <w:noProof/>
        </w:rPr>
        <w:fldChar w:fldCharType="separate"/>
      </w:r>
      <w:r w:rsidR="005F4083">
        <w:rPr>
          <w:noProof/>
        </w:rPr>
        <w:t>2</w:t>
      </w:r>
      <w:r w:rsidR="005C3A38">
        <w:rPr>
          <w:noProof/>
        </w:rPr>
        <w:fldChar w:fldCharType="end"/>
      </w:r>
      <w:bookmarkEnd w:id="4"/>
      <w:r>
        <w:t xml:space="preserve">: </w:t>
      </w:r>
      <w:r w:rsidRPr="00A1701E">
        <w:rPr>
          <w:sz w:val="24"/>
        </w:rPr>
        <w:t>Description of AAA sites and reconfigurations in Yorkshire and the Humber</w:t>
      </w:r>
    </w:p>
    <w:tbl>
      <w:tblPr>
        <w:tblStyle w:val="PlainTable1"/>
        <w:tblW w:w="0" w:type="auto"/>
        <w:tblLook w:val="04A0" w:firstRow="1" w:lastRow="0" w:firstColumn="1" w:lastColumn="0" w:noHBand="0" w:noVBand="1"/>
      </w:tblPr>
      <w:tblGrid>
        <w:gridCol w:w="844"/>
        <w:gridCol w:w="1547"/>
        <w:gridCol w:w="1253"/>
        <w:gridCol w:w="2426"/>
        <w:gridCol w:w="992"/>
        <w:gridCol w:w="872"/>
        <w:gridCol w:w="1082"/>
      </w:tblGrid>
      <w:tr w:rsidR="003C1BF9" w:rsidRPr="00B819E0" w14:paraId="190B62FD" w14:textId="77777777" w:rsidTr="003C1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 w:type="dxa"/>
          </w:tcPr>
          <w:p w14:paraId="3593F796" w14:textId="77777777" w:rsidR="003C1BF9" w:rsidRPr="00112794" w:rsidRDefault="003C1BF9" w:rsidP="006951BF">
            <w:pPr>
              <w:spacing w:line="360" w:lineRule="auto"/>
              <w:rPr>
                <w:b w:val="0"/>
                <w:sz w:val="20"/>
              </w:rPr>
            </w:pPr>
            <w:r>
              <w:rPr>
                <w:sz w:val="20"/>
              </w:rPr>
              <w:t>Screen Area</w:t>
            </w:r>
          </w:p>
        </w:tc>
        <w:tc>
          <w:tcPr>
            <w:tcW w:w="1550" w:type="dxa"/>
          </w:tcPr>
          <w:p w14:paraId="088DF376" w14:textId="77777777" w:rsidR="003C1BF9" w:rsidRPr="00112794" w:rsidRDefault="003C1BF9" w:rsidP="006951BF">
            <w:pPr>
              <w:spacing w:line="360" w:lineRule="auto"/>
              <w:cnfStyle w:val="100000000000" w:firstRow="1" w:lastRow="0" w:firstColumn="0" w:lastColumn="0" w:oddVBand="0" w:evenVBand="0" w:oddHBand="0" w:evenHBand="0" w:firstRowFirstColumn="0" w:firstRowLastColumn="0" w:lastRowFirstColumn="0" w:lastRowLastColumn="0"/>
              <w:rPr>
                <w:b w:val="0"/>
                <w:sz w:val="20"/>
              </w:rPr>
            </w:pPr>
            <w:r w:rsidRPr="00112794">
              <w:rPr>
                <w:sz w:val="20"/>
              </w:rPr>
              <w:t>City</w:t>
            </w:r>
          </w:p>
        </w:tc>
        <w:tc>
          <w:tcPr>
            <w:tcW w:w="1259" w:type="dxa"/>
          </w:tcPr>
          <w:p w14:paraId="48C1B1A9" w14:textId="77777777" w:rsidR="003C1BF9" w:rsidRPr="00112794" w:rsidRDefault="003C1BF9" w:rsidP="006951BF">
            <w:pPr>
              <w:spacing w:line="360" w:lineRule="auto"/>
              <w:cnfStyle w:val="100000000000" w:firstRow="1" w:lastRow="0" w:firstColumn="0" w:lastColumn="0" w:oddVBand="0" w:evenVBand="0" w:oddHBand="0" w:evenHBand="0" w:firstRowFirstColumn="0" w:firstRowLastColumn="0" w:lastRowFirstColumn="0" w:lastRowLastColumn="0"/>
              <w:rPr>
                <w:b w:val="0"/>
                <w:sz w:val="20"/>
              </w:rPr>
            </w:pPr>
            <w:r w:rsidRPr="00112794">
              <w:rPr>
                <w:sz w:val="20"/>
              </w:rPr>
              <w:t>Post Code</w:t>
            </w:r>
          </w:p>
        </w:tc>
        <w:tc>
          <w:tcPr>
            <w:tcW w:w="2438" w:type="dxa"/>
          </w:tcPr>
          <w:p w14:paraId="49C97849" w14:textId="77777777" w:rsidR="003C1BF9" w:rsidRPr="00112794" w:rsidRDefault="003C1BF9" w:rsidP="006951BF">
            <w:pPr>
              <w:spacing w:line="360" w:lineRule="auto"/>
              <w:cnfStyle w:val="100000000000" w:firstRow="1" w:lastRow="0" w:firstColumn="0" w:lastColumn="0" w:oddVBand="0" w:evenVBand="0" w:oddHBand="0" w:evenHBand="0" w:firstRowFirstColumn="0" w:firstRowLastColumn="0" w:lastRowFirstColumn="0" w:lastRowLastColumn="0"/>
              <w:rPr>
                <w:b w:val="0"/>
                <w:sz w:val="20"/>
              </w:rPr>
            </w:pPr>
            <w:r w:rsidRPr="00112794">
              <w:rPr>
                <w:sz w:val="20"/>
              </w:rPr>
              <w:t>Name</w:t>
            </w:r>
          </w:p>
        </w:tc>
        <w:tc>
          <w:tcPr>
            <w:tcW w:w="992" w:type="dxa"/>
          </w:tcPr>
          <w:p w14:paraId="511864D5" w14:textId="77777777" w:rsidR="003C1BF9" w:rsidRDefault="003C1BF9" w:rsidP="006951BF">
            <w:pPr>
              <w:spacing w:line="360" w:lineRule="auto"/>
              <w:cnfStyle w:val="100000000000" w:firstRow="1" w:lastRow="0" w:firstColumn="0" w:lastColumn="0" w:oddVBand="0" w:evenVBand="0" w:oddHBand="0" w:evenHBand="0" w:firstRowFirstColumn="0" w:firstRowLastColumn="0" w:lastRowFirstColumn="0" w:lastRowLastColumn="0"/>
              <w:rPr>
                <w:sz w:val="20"/>
              </w:rPr>
            </w:pPr>
            <w:r>
              <w:rPr>
                <w:sz w:val="20"/>
              </w:rPr>
              <w:t>Baseline</w:t>
            </w:r>
          </w:p>
          <w:p w14:paraId="2FE110D4" w14:textId="77777777" w:rsidR="003C1BF9" w:rsidRPr="00112794" w:rsidRDefault="003C1BF9" w:rsidP="006951BF">
            <w:pPr>
              <w:spacing w:line="360" w:lineRule="auto"/>
              <w:cnfStyle w:val="100000000000" w:firstRow="1" w:lastRow="0" w:firstColumn="0" w:lastColumn="0" w:oddVBand="0" w:evenVBand="0" w:oddHBand="0" w:evenHBand="0" w:firstRowFirstColumn="0" w:firstRowLastColumn="0" w:lastRowFirstColumn="0" w:lastRowLastColumn="0"/>
              <w:rPr>
                <w:b w:val="0"/>
                <w:sz w:val="20"/>
              </w:rPr>
            </w:pPr>
            <w:r>
              <w:rPr>
                <w:sz w:val="20"/>
              </w:rPr>
              <w:t>(200607)</w:t>
            </w:r>
          </w:p>
        </w:tc>
        <w:tc>
          <w:tcPr>
            <w:tcW w:w="850" w:type="dxa"/>
          </w:tcPr>
          <w:p w14:paraId="684F597F" w14:textId="77777777" w:rsidR="003C1BF9" w:rsidRPr="003C1BF9" w:rsidRDefault="003C1BF9" w:rsidP="006951BF">
            <w:pPr>
              <w:spacing w:line="360" w:lineRule="auto"/>
              <w:cnfStyle w:val="100000000000" w:firstRow="1" w:lastRow="0" w:firstColumn="0" w:lastColumn="0" w:oddVBand="0" w:evenVBand="0" w:oddHBand="0" w:evenHBand="0" w:firstRowFirstColumn="0" w:firstRowLastColumn="0" w:lastRowFirstColumn="0" w:lastRowLastColumn="0"/>
              <w:rPr>
                <w:sz w:val="20"/>
              </w:rPr>
            </w:pPr>
            <w:r>
              <w:rPr>
                <w:sz w:val="20"/>
              </w:rPr>
              <w:t>Change</w:t>
            </w:r>
          </w:p>
        </w:tc>
        <w:tc>
          <w:tcPr>
            <w:tcW w:w="1083" w:type="dxa"/>
          </w:tcPr>
          <w:p w14:paraId="47295E17" w14:textId="77777777" w:rsidR="003C1BF9" w:rsidRPr="005F4941" w:rsidRDefault="003C1BF9" w:rsidP="006951BF">
            <w:pPr>
              <w:spacing w:line="360" w:lineRule="auto"/>
              <w:cnfStyle w:val="100000000000" w:firstRow="1" w:lastRow="0" w:firstColumn="0" w:lastColumn="0" w:oddVBand="0" w:evenVBand="0" w:oddHBand="0" w:evenHBand="0" w:firstRowFirstColumn="0" w:firstRowLastColumn="0" w:lastRowFirstColumn="0" w:lastRowLastColumn="0"/>
              <w:rPr>
                <w:b w:val="0"/>
                <w:sz w:val="20"/>
              </w:rPr>
            </w:pPr>
            <w:proofErr w:type="spellStart"/>
            <w:r>
              <w:rPr>
                <w:sz w:val="20"/>
              </w:rPr>
              <w:t>HESyear</w:t>
            </w:r>
            <w:proofErr w:type="spellEnd"/>
            <w:r>
              <w:rPr>
                <w:sz w:val="20"/>
              </w:rPr>
              <w:t xml:space="preserve"> closed</w:t>
            </w:r>
          </w:p>
        </w:tc>
      </w:tr>
      <w:tr w:rsidR="003C1BF9" w14:paraId="3495F6F4" w14:textId="77777777" w:rsidTr="003C1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 w:type="dxa"/>
          </w:tcPr>
          <w:p w14:paraId="64E13416" w14:textId="77777777" w:rsidR="003C1BF9" w:rsidRPr="00112794" w:rsidRDefault="003C1BF9" w:rsidP="006951BF">
            <w:pPr>
              <w:spacing w:line="360" w:lineRule="auto"/>
              <w:rPr>
                <w:sz w:val="20"/>
              </w:rPr>
            </w:pPr>
            <w:r>
              <w:rPr>
                <w:sz w:val="20"/>
              </w:rPr>
              <w:t>YOH</w:t>
            </w:r>
          </w:p>
        </w:tc>
        <w:tc>
          <w:tcPr>
            <w:tcW w:w="1550" w:type="dxa"/>
          </w:tcPr>
          <w:p w14:paraId="2E982854"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Hull</w:t>
            </w:r>
          </w:p>
        </w:tc>
        <w:tc>
          <w:tcPr>
            <w:tcW w:w="1259" w:type="dxa"/>
          </w:tcPr>
          <w:p w14:paraId="1E4FED6B"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 xml:space="preserve">HU3 2JZ  </w:t>
            </w:r>
          </w:p>
        </w:tc>
        <w:tc>
          <w:tcPr>
            <w:tcW w:w="2438" w:type="dxa"/>
          </w:tcPr>
          <w:p w14:paraId="7B53DF9C"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 xml:space="preserve">Hull Royal </w:t>
            </w:r>
          </w:p>
        </w:tc>
        <w:tc>
          <w:tcPr>
            <w:tcW w:w="992" w:type="dxa"/>
          </w:tcPr>
          <w:p w14:paraId="5BB65749"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850" w:type="dxa"/>
          </w:tcPr>
          <w:p w14:paraId="7D3F6FD8"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1083" w:type="dxa"/>
          </w:tcPr>
          <w:p w14:paraId="05B2B9FE" w14:textId="77777777" w:rsidR="003C1BF9"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w:t>
            </w:r>
          </w:p>
        </w:tc>
      </w:tr>
      <w:tr w:rsidR="003C1BF9" w14:paraId="44AEECEF" w14:textId="77777777" w:rsidTr="003C1BF9">
        <w:tc>
          <w:tcPr>
            <w:cnfStyle w:val="001000000000" w:firstRow="0" w:lastRow="0" w:firstColumn="1" w:lastColumn="0" w:oddVBand="0" w:evenVBand="0" w:oddHBand="0" w:evenHBand="0" w:firstRowFirstColumn="0" w:firstRowLastColumn="0" w:lastRowFirstColumn="0" w:lastRowLastColumn="0"/>
            <w:tcW w:w="844" w:type="dxa"/>
          </w:tcPr>
          <w:p w14:paraId="782FB286" w14:textId="77777777" w:rsidR="003C1BF9" w:rsidRPr="00112794" w:rsidRDefault="003C1BF9" w:rsidP="006951BF">
            <w:pPr>
              <w:spacing w:line="360" w:lineRule="auto"/>
              <w:rPr>
                <w:sz w:val="20"/>
              </w:rPr>
            </w:pPr>
            <w:r>
              <w:rPr>
                <w:sz w:val="20"/>
              </w:rPr>
              <w:t>YOH</w:t>
            </w:r>
          </w:p>
        </w:tc>
        <w:tc>
          <w:tcPr>
            <w:tcW w:w="1550" w:type="dxa"/>
          </w:tcPr>
          <w:p w14:paraId="58E0AE3F"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York</w:t>
            </w:r>
          </w:p>
        </w:tc>
        <w:tc>
          <w:tcPr>
            <w:tcW w:w="1259" w:type="dxa"/>
          </w:tcPr>
          <w:p w14:paraId="3E89928F"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YO31 8HE</w:t>
            </w:r>
          </w:p>
        </w:tc>
        <w:tc>
          <w:tcPr>
            <w:tcW w:w="2438" w:type="dxa"/>
          </w:tcPr>
          <w:p w14:paraId="3EC85277"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t>York</w:t>
            </w:r>
          </w:p>
        </w:tc>
        <w:tc>
          <w:tcPr>
            <w:tcW w:w="992" w:type="dxa"/>
          </w:tcPr>
          <w:p w14:paraId="261062E5"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850" w:type="dxa"/>
          </w:tcPr>
          <w:p w14:paraId="5DAE9F7D"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1083" w:type="dxa"/>
          </w:tcPr>
          <w:p w14:paraId="0F297660" w14:textId="77777777" w:rsidR="003C1BF9"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t>-</w:t>
            </w:r>
          </w:p>
        </w:tc>
      </w:tr>
      <w:tr w:rsidR="003C1BF9" w14:paraId="2B9B830B" w14:textId="77777777" w:rsidTr="003C1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 w:type="dxa"/>
          </w:tcPr>
          <w:p w14:paraId="05C45F2D" w14:textId="77777777" w:rsidR="003C1BF9" w:rsidRPr="00112794" w:rsidRDefault="003C1BF9" w:rsidP="006951BF">
            <w:pPr>
              <w:spacing w:line="360" w:lineRule="auto"/>
              <w:rPr>
                <w:sz w:val="20"/>
              </w:rPr>
            </w:pPr>
            <w:r>
              <w:rPr>
                <w:sz w:val="20"/>
              </w:rPr>
              <w:t>YOH</w:t>
            </w:r>
          </w:p>
        </w:tc>
        <w:tc>
          <w:tcPr>
            <w:tcW w:w="1550" w:type="dxa"/>
          </w:tcPr>
          <w:p w14:paraId="5983E65C"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NE Lincolnshire and Goole</w:t>
            </w:r>
          </w:p>
        </w:tc>
        <w:tc>
          <w:tcPr>
            <w:tcW w:w="1259" w:type="dxa"/>
          </w:tcPr>
          <w:p w14:paraId="34294D49"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DN33 2BA</w:t>
            </w:r>
          </w:p>
        </w:tc>
        <w:tc>
          <w:tcPr>
            <w:tcW w:w="2438" w:type="dxa"/>
          </w:tcPr>
          <w:p w14:paraId="2F86B8A5"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D</w:t>
            </w:r>
            <w:r>
              <w:rPr>
                <w:sz w:val="20"/>
              </w:rPr>
              <w:t>iana, Princess Of Wales (</w:t>
            </w:r>
            <w:r w:rsidRPr="00112794">
              <w:rPr>
                <w:sz w:val="20"/>
              </w:rPr>
              <w:t>Grimsby</w:t>
            </w:r>
            <w:r>
              <w:rPr>
                <w:sz w:val="20"/>
              </w:rPr>
              <w:t>)</w:t>
            </w:r>
          </w:p>
        </w:tc>
        <w:tc>
          <w:tcPr>
            <w:tcW w:w="992" w:type="dxa"/>
          </w:tcPr>
          <w:p w14:paraId="5E666496"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850" w:type="dxa"/>
          </w:tcPr>
          <w:p w14:paraId="192DB5BF"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1083" w:type="dxa"/>
          </w:tcPr>
          <w:p w14:paraId="09A21F68" w14:textId="77777777" w:rsidR="003C1BF9" w:rsidRDefault="00524282"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201112</w:t>
            </w:r>
          </w:p>
        </w:tc>
      </w:tr>
      <w:tr w:rsidR="003C1BF9" w14:paraId="13CBAAB1" w14:textId="77777777" w:rsidTr="003C1BF9">
        <w:tc>
          <w:tcPr>
            <w:cnfStyle w:val="001000000000" w:firstRow="0" w:lastRow="0" w:firstColumn="1" w:lastColumn="0" w:oddVBand="0" w:evenVBand="0" w:oddHBand="0" w:evenHBand="0" w:firstRowFirstColumn="0" w:firstRowLastColumn="0" w:lastRowFirstColumn="0" w:lastRowLastColumn="0"/>
            <w:tcW w:w="844" w:type="dxa"/>
          </w:tcPr>
          <w:p w14:paraId="07FF018F" w14:textId="77777777" w:rsidR="003C1BF9" w:rsidRPr="00112794" w:rsidRDefault="003C1BF9" w:rsidP="006951BF">
            <w:pPr>
              <w:spacing w:line="360" w:lineRule="auto"/>
              <w:rPr>
                <w:sz w:val="20"/>
              </w:rPr>
            </w:pPr>
            <w:r>
              <w:rPr>
                <w:sz w:val="20"/>
              </w:rPr>
              <w:t>YOH</w:t>
            </w:r>
          </w:p>
        </w:tc>
        <w:tc>
          <w:tcPr>
            <w:tcW w:w="1550" w:type="dxa"/>
          </w:tcPr>
          <w:p w14:paraId="5CEB8624"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Scarborough</w:t>
            </w:r>
          </w:p>
        </w:tc>
        <w:tc>
          <w:tcPr>
            <w:tcW w:w="1259" w:type="dxa"/>
          </w:tcPr>
          <w:p w14:paraId="5285FFF3"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YO12 6QL</w:t>
            </w:r>
          </w:p>
        </w:tc>
        <w:tc>
          <w:tcPr>
            <w:tcW w:w="2438" w:type="dxa"/>
          </w:tcPr>
          <w:p w14:paraId="79B8E431"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t xml:space="preserve">Scarborough </w:t>
            </w:r>
          </w:p>
        </w:tc>
        <w:tc>
          <w:tcPr>
            <w:tcW w:w="992" w:type="dxa"/>
          </w:tcPr>
          <w:p w14:paraId="4517209D"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850" w:type="dxa"/>
          </w:tcPr>
          <w:p w14:paraId="234B07C5"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1083" w:type="dxa"/>
          </w:tcPr>
          <w:p w14:paraId="1075D727" w14:textId="77777777" w:rsidR="003C1BF9"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t>200910</w:t>
            </w:r>
          </w:p>
        </w:tc>
      </w:tr>
      <w:tr w:rsidR="003C1BF9" w14:paraId="43AF4347" w14:textId="77777777" w:rsidTr="003C1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 w:type="dxa"/>
          </w:tcPr>
          <w:p w14:paraId="076012A2" w14:textId="77777777" w:rsidR="003C1BF9" w:rsidRPr="00112794" w:rsidRDefault="003C1BF9" w:rsidP="006951BF">
            <w:pPr>
              <w:spacing w:line="360" w:lineRule="auto"/>
              <w:rPr>
                <w:sz w:val="20"/>
              </w:rPr>
            </w:pPr>
            <w:r>
              <w:rPr>
                <w:sz w:val="20"/>
              </w:rPr>
              <w:t>YOH</w:t>
            </w:r>
          </w:p>
        </w:tc>
        <w:tc>
          <w:tcPr>
            <w:tcW w:w="1550" w:type="dxa"/>
          </w:tcPr>
          <w:p w14:paraId="0BB78B86"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 xml:space="preserve">Harrogate  </w:t>
            </w:r>
          </w:p>
        </w:tc>
        <w:tc>
          <w:tcPr>
            <w:tcW w:w="1259" w:type="dxa"/>
          </w:tcPr>
          <w:p w14:paraId="1B704FC6"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HG2 7SX</w:t>
            </w:r>
          </w:p>
        </w:tc>
        <w:tc>
          <w:tcPr>
            <w:tcW w:w="2438" w:type="dxa"/>
          </w:tcPr>
          <w:p w14:paraId="3EB12C55"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Harrog</w:t>
            </w:r>
            <w:r>
              <w:rPr>
                <w:sz w:val="20"/>
              </w:rPr>
              <w:t xml:space="preserve">ate District </w:t>
            </w:r>
          </w:p>
        </w:tc>
        <w:tc>
          <w:tcPr>
            <w:tcW w:w="992" w:type="dxa"/>
          </w:tcPr>
          <w:p w14:paraId="2DFE84B5"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850" w:type="dxa"/>
          </w:tcPr>
          <w:p w14:paraId="1835E6B4"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1083" w:type="dxa"/>
          </w:tcPr>
          <w:p w14:paraId="66E03DC9" w14:textId="77777777" w:rsidR="003C1BF9"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200708</w:t>
            </w:r>
          </w:p>
        </w:tc>
      </w:tr>
      <w:tr w:rsidR="003C1BF9" w14:paraId="2FA3088F" w14:textId="77777777" w:rsidTr="003C1BF9">
        <w:tc>
          <w:tcPr>
            <w:cnfStyle w:val="001000000000" w:firstRow="0" w:lastRow="0" w:firstColumn="1" w:lastColumn="0" w:oddVBand="0" w:evenVBand="0" w:oddHBand="0" w:evenHBand="0" w:firstRowFirstColumn="0" w:firstRowLastColumn="0" w:lastRowFirstColumn="0" w:lastRowLastColumn="0"/>
            <w:tcW w:w="844" w:type="dxa"/>
          </w:tcPr>
          <w:p w14:paraId="35B4CCEA" w14:textId="77777777" w:rsidR="003C1BF9" w:rsidRPr="00112794" w:rsidRDefault="003C1BF9" w:rsidP="006951BF">
            <w:pPr>
              <w:spacing w:line="360" w:lineRule="auto"/>
              <w:rPr>
                <w:sz w:val="20"/>
              </w:rPr>
            </w:pPr>
            <w:r>
              <w:rPr>
                <w:sz w:val="20"/>
              </w:rPr>
              <w:t>CYH</w:t>
            </w:r>
          </w:p>
        </w:tc>
        <w:tc>
          <w:tcPr>
            <w:tcW w:w="1550" w:type="dxa"/>
          </w:tcPr>
          <w:p w14:paraId="742609D7" w14:textId="77777777" w:rsidR="003C1BF9" w:rsidRPr="00112794" w:rsidRDefault="001D4890"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t>Wakefield</w:t>
            </w:r>
          </w:p>
        </w:tc>
        <w:tc>
          <w:tcPr>
            <w:tcW w:w="1259" w:type="dxa"/>
          </w:tcPr>
          <w:p w14:paraId="72547F54"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WF1 4DG</w:t>
            </w:r>
          </w:p>
        </w:tc>
        <w:tc>
          <w:tcPr>
            <w:tcW w:w="2438" w:type="dxa"/>
          </w:tcPr>
          <w:p w14:paraId="2EA5AE08"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t>Pinderfields</w:t>
            </w:r>
          </w:p>
        </w:tc>
        <w:tc>
          <w:tcPr>
            <w:tcW w:w="992" w:type="dxa"/>
          </w:tcPr>
          <w:p w14:paraId="25122DC4"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850" w:type="dxa"/>
          </w:tcPr>
          <w:p w14:paraId="45728F45"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1083" w:type="dxa"/>
          </w:tcPr>
          <w:p w14:paraId="56EF2674" w14:textId="77777777" w:rsidR="003C1BF9"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t>201314</w:t>
            </w:r>
          </w:p>
        </w:tc>
      </w:tr>
      <w:tr w:rsidR="003C1BF9" w14:paraId="025DC520" w14:textId="77777777" w:rsidTr="003C1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 w:type="dxa"/>
          </w:tcPr>
          <w:p w14:paraId="1C8C1651" w14:textId="77777777" w:rsidR="003C1BF9" w:rsidRPr="00112794" w:rsidRDefault="003C1BF9" w:rsidP="006951BF">
            <w:pPr>
              <w:spacing w:line="360" w:lineRule="auto"/>
              <w:rPr>
                <w:sz w:val="20"/>
              </w:rPr>
            </w:pPr>
            <w:r>
              <w:rPr>
                <w:sz w:val="20"/>
              </w:rPr>
              <w:t>CYH</w:t>
            </w:r>
          </w:p>
        </w:tc>
        <w:tc>
          <w:tcPr>
            <w:tcW w:w="1550" w:type="dxa"/>
          </w:tcPr>
          <w:p w14:paraId="4540D607"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Leeds</w:t>
            </w:r>
          </w:p>
        </w:tc>
        <w:tc>
          <w:tcPr>
            <w:tcW w:w="1259" w:type="dxa"/>
          </w:tcPr>
          <w:p w14:paraId="635F91A6"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LS1 3EX</w:t>
            </w:r>
          </w:p>
        </w:tc>
        <w:tc>
          <w:tcPr>
            <w:tcW w:w="2438" w:type="dxa"/>
          </w:tcPr>
          <w:p w14:paraId="6463759A"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 xml:space="preserve">L General </w:t>
            </w:r>
          </w:p>
        </w:tc>
        <w:tc>
          <w:tcPr>
            <w:tcW w:w="992" w:type="dxa"/>
          </w:tcPr>
          <w:p w14:paraId="56A38F27" w14:textId="77777777" w:rsidR="003C1BF9"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850" w:type="dxa"/>
          </w:tcPr>
          <w:p w14:paraId="5BB7AED2" w14:textId="77777777" w:rsidR="003C1BF9"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1083" w:type="dxa"/>
          </w:tcPr>
          <w:p w14:paraId="30BA9E75" w14:textId="77777777" w:rsidR="003C1BF9"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w:t>
            </w:r>
          </w:p>
        </w:tc>
      </w:tr>
      <w:tr w:rsidR="003C1BF9" w14:paraId="15AFA6BE" w14:textId="77777777" w:rsidTr="003C1BF9">
        <w:tc>
          <w:tcPr>
            <w:cnfStyle w:val="001000000000" w:firstRow="0" w:lastRow="0" w:firstColumn="1" w:lastColumn="0" w:oddVBand="0" w:evenVBand="0" w:oddHBand="0" w:evenHBand="0" w:firstRowFirstColumn="0" w:firstRowLastColumn="0" w:lastRowFirstColumn="0" w:lastRowLastColumn="0"/>
            <w:tcW w:w="844" w:type="dxa"/>
          </w:tcPr>
          <w:p w14:paraId="62600F33" w14:textId="77777777" w:rsidR="003C1BF9" w:rsidRPr="00112794" w:rsidRDefault="003C1BF9" w:rsidP="006951BF">
            <w:pPr>
              <w:spacing w:line="360" w:lineRule="auto"/>
              <w:rPr>
                <w:sz w:val="20"/>
              </w:rPr>
            </w:pPr>
            <w:r>
              <w:rPr>
                <w:sz w:val="20"/>
              </w:rPr>
              <w:t>WYO</w:t>
            </w:r>
          </w:p>
        </w:tc>
        <w:tc>
          <w:tcPr>
            <w:tcW w:w="1550" w:type="dxa"/>
          </w:tcPr>
          <w:p w14:paraId="1A3408AD"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Bradford</w:t>
            </w:r>
          </w:p>
        </w:tc>
        <w:tc>
          <w:tcPr>
            <w:tcW w:w="1259" w:type="dxa"/>
          </w:tcPr>
          <w:p w14:paraId="593D839A"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BD9 6RJ</w:t>
            </w:r>
          </w:p>
        </w:tc>
        <w:tc>
          <w:tcPr>
            <w:tcW w:w="2438" w:type="dxa"/>
          </w:tcPr>
          <w:p w14:paraId="27EE91F9"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t xml:space="preserve">Bradford Royal </w:t>
            </w:r>
          </w:p>
        </w:tc>
        <w:tc>
          <w:tcPr>
            <w:tcW w:w="992" w:type="dxa"/>
          </w:tcPr>
          <w:p w14:paraId="0662CDEF"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850" w:type="dxa"/>
          </w:tcPr>
          <w:p w14:paraId="17830073"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1083" w:type="dxa"/>
          </w:tcPr>
          <w:p w14:paraId="17B4FF37" w14:textId="77777777" w:rsidR="003C1BF9"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t>-</w:t>
            </w:r>
          </w:p>
        </w:tc>
      </w:tr>
      <w:tr w:rsidR="003C1BF9" w14:paraId="3A43F09F" w14:textId="77777777" w:rsidTr="003C1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 w:type="dxa"/>
          </w:tcPr>
          <w:p w14:paraId="0E9C7EA0" w14:textId="77777777" w:rsidR="003C1BF9" w:rsidRPr="00112794" w:rsidRDefault="003C1BF9" w:rsidP="006951BF">
            <w:pPr>
              <w:spacing w:line="360" w:lineRule="auto"/>
              <w:rPr>
                <w:sz w:val="20"/>
              </w:rPr>
            </w:pPr>
            <w:r>
              <w:rPr>
                <w:sz w:val="20"/>
              </w:rPr>
              <w:t>WYO</w:t>
            </w:r>
          </w:p>
        </w:tc>
        <w:tc>
          <w:tcPr>
            <w:tcW w:w="1550" w:type="dxa"/>
          </w:tcPr>
          <w:p w14:paraId="24B26B10"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Airedale</w:t>
            </w:r>
          </w:p>
        </w:tc>
        <w:tc>
          <w:tcPr>
            <w:tcW w:w="1259" w:type="dxa"/>
          </w:tcPr>
          <w:p w14:paraId="6BC1FB5C"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BD20 6TD</w:t>
            </w:r>
          </w:p>
        </w:tc>
        <w:tc>
          <w:tcPr>
            <w:tcW w:w="2438" w:type="dxa"/>
          </w:tcPr>
          <w:p w14:paraId="0BD4DB41"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 xml:space="preserve">Airedale General </w:t>
            </w:r>
          </w:p>
        </w:tc>
        <w:tc>
          <w:tcPr>
            <w:tcW w:w="992" w:type="dxa"/>
          </w:tcPr>
          <w:p w14:paraId="7FEC1690"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850" w:type="dxa"/>
          </w:tcPr>
          <w:p w14:paraId="1F2A9D3B"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1083" w:type="dxa"/>
          </w:tcPr>
          <w:p w14:paraId="40DEB148" w14:textId="77777777" w:rsidR="003C1BF9"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201112</w:t>
            </w:r>
          </w:p>
        </w:tc>
      </w:tr>
      <w:tr w:rsidR="003C1BF9" w14:paraId="043969B3" w14:textId="77777777" w:rsidTr="003C1BF9">
        <w:tc>
          <w:tcPr>
            <w:cnfStyle w:val="001000000000" w:firstRow="0" w:lastRow="0" w:firstColumn="1" w:lastColumn="0" w:oddVBand="0" w:evenVBand="0" w:oddHBand="0" w:evenHBand="0" w:firstRowFirstColumn="0" w:firstRowLastColumn="0" w:lastRowFirstColumn="0" w:lastRowLastColumn="0"/>
            <w:tcW w:w="844" w:type="dxa"/>
          </w:tcPr>
          <w:p w14:paraId="5B72D8F4" w14:textId="77777777" w:rsidR="003C1BF9" w:rsidRPr="00112794" w:rsidRDefault="003C1BF9" w:rsidP="006951BF">
            <w:pPr>
              <w:spacing w:line="360" w:lineRule="auto"/>
              <w:rPr>
                <w:sz w:val="20"/>
              </w:rPr>
            </w:pPr>
            <w:r>
              <w:rPr>
                <w:sz w:val="20"/>
              </w:rPr>
              <w:t>WYO</w:t>
            </w:r>
          </w:p>
        </w:tc>
        <w:tc>
          <w:tcPr>
            <w:tcW w:w="1550" w:type="dxa"/>
          </w:tcPr>
          <w:p w14:paraId="5FF9F6A2"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Huddersfield</w:t>
            </w:r>
          </w:p>
        </w:tc>
        <w:tc>
          <w:tcPr>
            <w:tcW w:w="1259" w:type="dxa"/>
          </w:tcPr>
          <w:p w14:paraId="13779792"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HD3 3EA</w:t>
            </w:r>
          </w:p>
        </w:tc>
        <w:tc>
          <w:tcPr>
            <w:tcW w:w="2438" w:type="dxa"/>
          </w:tcPr>
          <w:p w14:paraId="6DFE7309"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t xml:space="preserve">Huddersfield Royal </w:t>
            </w:r>
          </w:p>
        </w:tc>
        <w:tc>
          <w:tcPr>
            <w:tcW w:w="992" w:type="dxa"/>
          </w:tcPr>
          <w:p w14:paraId="5590068C"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850" w:type="dxa"/>
          </w:tcPr>
          <w:p w14:paraId="11580074"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1083" w:type="dxa"/>
          </w:tcPr>
          <w:p w14:paraId="78162293" w14:textId="77777777" w:rsidR="003C1BF9"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t>-</w:t>
            </w:r>
          </w:p>
        </w:tc>
      </w:tr>
      <w:tr w:rsidR="003C1BF9" w14:paraId="4858CA24" w14:textId="77777777" w:rsidTr="003C1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 w:type="dxa"/>
          </w:tcPr>
          <w:p w14:paraId="2998BB17" w14:textId="77777777" w:rsidR="003C1BF9" w:rsidRPr="00112794" w:rsidRDefault="003C1BF9" w:rsidP="006951BF">
            <w:pPr>
              <w:spacing w:line="360" w:lineRule="auto"/>
              <w:rPr>
                <w:sz w:val="20"/>
              </w:rPr>
            </w:pPr>
            <w:r>
              <w:rPr>
                <w:sz w:val="20"/>
              </w:rPr>
              <w:t>SYB</w:t>
            </w:r>
          </w:p>
        </w:tc>
        <w:tc>
          <w:tcPr>
            <w:tcW w:w="1550" w:type="dxa"/>
          </w:tcPr>
          <w:p w14:paraId="634E2AA2"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Sheffield</w:t>
            </w:r>
          </w:p>
        </w:tc>
        <w:tc>
          <w:tcPr>
            <w:tcW w:w="1259" w:type="dxa"/>
          </w:tcPr>
          <w:p w14:paraId="48C67B6B"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S7 5AU</w:t>
            </w:r>
          </w:p>
        </w:tc>
        <w:tc>
          <w:tcPr>
            <w:tcW w:w="2438" w:type="dxa"/>
          </w:tcPr>
          <w:p w14:paraId="0179874D"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 xml:space="preserve">Northern General </w:t>
            </w:r>
          </w:p>
        </w:tc>
        <w:tc>
          <w:tcPr>
            <w:tcW w:w="992" w:type="dxa"/>
          </w:tcPr>
          <w:p w14:paraId="2E4836C4"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850" w:type="dxa"/>
          </w:tcPr>
          <w:p w14:paraId="2369D3F9" w14:textId="77777777" w:rsidR="003C1BF9" w:rsidRPr="00112794"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1083" w:type="dxa"/>
          </w:tcPr>
          <w:p w14:paraId="2DF5C379" w14:textId="77777777" w:rsidR="003C1BF9" w:rsidRDefault="003C1BF9" w:rsidP="006951BF">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w:t>
            </w:r>
          </w:p>
        </w:tc>
      </w:tr>
      <w:tr w:rsidR="003C1BF9" w14:paraId="1C50293A" w14:textId="77777777" w:rsidTr="003C1BF9">
        <w:tc>
          <w:tcPr>
            <w:cnfStyle w:val="001000000000" w:firstRow="0" w:lastRow="0" w:firstColumn="1" w:lastColumn="0" w:oddVBand="0" w:evenVBand="0" w:oddHBand="0" w:evenHBand="0" w:firstRowFirstColumn="0" w:firstRowLastColumn="0" w:lastRowFirstColumn="0" w:lastRowLastColumn="0"/>
            <w:tcW w:w="844" w:type="dxa"/>
          </w:tcPr>
          <w:p w14:paraId="114FACB9" w14:textId="77777777" w:rsidR="003C1BF9" w:rsidRPr="00112794" w:rsidRDefault="003C1BF9" w:rsidP="006951BF">
            <w:pPr>
              <w:spacing w:line="360" w:lineRule="auto"/>
              <w:rPr>
                <w:sz w:val="20"/>
              </w:rPr>
            </w:pPr>
            <w:r>
              <w:rPr>
                <w:sz w:val="20"/>
              </w:rPr>
              <w:t>SYB</w:t>
            </w:r>
          </w:p>
        </w:tc>
        <w:tc>
          <w:tcPr>
            <w:tcW w:w="1550" w:type="dxa"/>
          </w:tcPr>
          <w:p w14:paraId="38A1E4B6"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Doncaster</w:t>
            </w:r>
          </w:p>
        </w:tc>
        <w:tc>
          <w:tcPr>
            <w:tcW w:w="1259" w:type="dxa"/>
          </w:tcPr>
          <w:p w14:paraId="35CFFA1A"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DN2 5LT</w:t>
            </w:r>
          </w:p>
        </w:tc>
        <w:tc>
          <w:tcPr>
            <w:tcW w:w="2438" w:type="dxa"/>
          </w:tcPr>
          <w:p w14:paraId="06BA8513"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Doncaster Royal Infirmary</w:t>
            </w:r>
          </w:p>
        </w:tc>
        <w:tc>
          <w:tcPr>
            <w:tcW w:w="992" w:type="dxa"/>
          </w:tcPr>
          <w:p w14:paraId="3C8FE446"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850" w:type="dxa"/>
          </w:tcPr>
          <w:p w14:paraId="77351802" w14:textId="77777777" w:rsidR="003C1BF9" w:rsidRPr="00112794"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1083" w:type="dxa"/>
          </w:tcPr>
          <w:p w14:paraId="4AE708FA" w14:textId="77777777" w:rsidR="003C1BF9" w:rsidRDefault="003C1BF9" w:rsidP="006951BF">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t>-</w:t>
            </w:r>
          </w:p>
        </w:tc>
      </w:tr>
    </w:tbl>
    <w:p w14:paraId="4A4A57B5" w14:textId="77777777" w:rsidR="0029586D" w:rsidRDefault="0029586D" w:rsidP="0029586D"/>
    <w:p w14:paraId="21139917" w14:textId="77777777" w:rsidR="00184CDE" w:rsidRDefault="00392753" w:rsidP="00392753">
      <w:pPr>
        <w:pStyle w:val="ListParagraph"/>
        <w:numPr>
          <w:ilvl w:val="0"/>
          <w:numId w:val="7"/>
        </w:numPr>
      </w:pPr>
      <w:r>
        <w:lastRenderedPageBreak/>
        <w:t>IMPACT OF RECONFIGURATION ON WORKLOAD AND PATIENTS’ TRAVEL</w:t>
      </w:r>
    </w:p>
    <w:p w14:paraId="07E4D523" w14:textId="77777777" w:rsidR="00392753" w:rsidRDefault="00392753" w:rsidP="00392753">
      <w:pPr>
        <w:spacing w:line="360" w:lineRule="auto"/>
      </w:pPr>
      <w:r>
        <w:t>This section estimates the impact of reconfiguration on workload and patient travel. There were five closures, which are described below.</w:t>
      </w:r>
    </w:p>
    <w:p w14:paraId="70D141A8" w14:textId="77777777" w:rsidR="00392753" w:rsidRDefault="00392753" w:rsidP="00392753">
      <w:pPr>
        <w:pStyle w:val="ListParagraph"/>
        <w:ind w:left="360"/>
      </w:pPr>
    </w:p>
    <w:p w14:paraId="26D0AEBD" w14:textId="77777777" w:rsidR="006B7DE1" w:rsidRDefault="006B7DE1" w:rsidP="00392753">
      <w:pPr>
        <w:pStyle w:val="ListParagraph"/>
        <w:numPr>
          <w:ilvl w:val="1"/>
          <w:numId w:val="7"/>
        </w:numPr>
      </w:pPr>
      <w:r>
        <w:t xml:space="preserve">The closure of the Harrogate site HG2 7SX </w:t>
      </w:r>
    </w:p>
    <w:p w14:paraId="2ECC40EF" w14:textId="77777777" w:rsidR="00F91767" w:rsidRDefault="0071786E" w:rsidP="0071786E">
      <w:pPr>
        <w:spacing w:line="360" w:lineRule="auto"/>
      </w:pPr>
      <w:r>
        <w:t>The Harrogate District Hospital (postcode HG2 7SX) was closed in 200708. In 200607, this hospital still received 11 AAA patients (10 elective, 1 emergency)</w:t>
      </w:r>
      <w:r w:rsidR="00F91767">
        <w:t>; 10</w:t>
      </w:r>
      <w:r>
        <w:t xml:space="preserve"> of them came from the Harrogate district area</w:t>
      </w:r>
      <w:r w:rsidR="00F91767">
        <w:t xml:space="preserve"> (1 with missing information)</w:t>
      </w:r>
      <w:r>
        <w:t xml:space="preserve">. </w:t>
      </w:r>
      <w:r w:rsidR="00F91767">
        <w:t>The travel pattern (for AAA repairs) of all patients from the Harrogate district area between 200607 a</w:t>
      </w:r>
      <w:r w:rsidR="00915FD6">
        <w:t xml:space="preserve">nd 201718 was described in </w:t>
      </w:r>
      <w:r w:rsidR="00915FD6">
        <w:fldChar w:fldCharType="begin"/>
      </w:r>
      <w:r w:rsidR="00915FD6">
        <w:instrText xml:space="preserve"> REF _Ref8376800 \h </w:instrText>
      </w:r>
      <w:r w:rsidR="00915FD6">
        <w:fldChar w:fldCharType="separate"/>
      </w:r>
      <w:r w:rsidR="00915FD6">
        <w:t xml:space="preserve">Table </w:t>
      </w:r>
      <w:r w:rsidR="00915FD6">
        <w:rPr>
          <w:noProof/>
        </w:rPr>
        <w:t>3</w:t>
      </w:r>
      <w:r w:rsidR="00915FD6">
        <w:fldChar w:fldCharType="end"/>
      </w:r>
      <w:r w:rsidR="00F91767">
        <w:t xml:space="preserve"> below.</w:t>
      </w:r>
    </w:p>
    <w:p w14:paraId="6CE3D41B" w14:textId="77777777" w:rsidR="00915FD6" w:rsidRDefault="00915FD6" w:rsidP="00915FD6">
      <w:pPr>
        <w:pStyle w:val="Caption"/>
      </w:pPr>
      <w:bookmarkStart w:id="5" w:name="_Ref8376800"/>
      <w:r>
        <w:t xml:space="preserve">Table </w:t>
      </w:r>
      <w:r w:rsidR="005C3A38">
        <w:rPr>
          <w:noProof/>
        </w:rPr>
        <w:fldChar w:fldCharType="begin"/>
      </w:r>
      <w:r w:rsidR="005C3A38">
        <w:rPr>
          <w:noProof/>
        </w:rPr>
        <w:instrText xml:space="preserve"> SEQ Table \* ARABIC </w:instrText>
      </w:r>
      <w:r w:rsidR="005C3A38">
        <w:rPr>
          <w:noProof/>
        </w:rPr>
        <w:fldChar w:fldCharType="separate"/>
      </w:r>
      <w:r w:rsidR="005F4083">
        <w:rPr>
          <w:noProof/>
        </w:rPr>
        <w:t>3</w:t>
      </w:r>
      <w:r w:rsidR="005C3A38">
        <w:rPr>
          <w:noProof/>
        </w:rPr>
        <w:fldChar w:fldCharType="end"/>
      </w:r>
      <w:bookmarkEnd w:id="5"/>
      <w:r>
        <w:t xml:space="preserve">: AAA travel pattern for patients from Harrogate district  </w:t>
      </w:r>
    </w:p>
    <w:p w14:paraId="7B4D145A" w14:textId="77777777" w:rsidR="0071786E" w:rsidRDefault="003342EC" w:rsidP="0071786E">
      <w:pPr>
        <w:spacing w:line="360" w:lineRule="auto"/>
      </w:pPr>
      <w:r w:rsidRPr="003342EC">
        <w:rPr>
          <w:noProof/>
          <w:lang w:eastAsia="zh-CN"/>
        </w:rPr>
        <w:drawing>
          <wp:inline distT="0" distB="0" distL="0" distR="0" wp14:anchorId="1A852835" wp14:editId="01643E1E">
            <wp:extent cx="5731510" cy="1068972"/>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068972"/>
                    </a:xfrm>
                    <a:prstGeom prst="rect">
                      <a:avLst/>
                    </a:prstGeom>
                    <a:noFill/>
                    <a:ln>
                      <a:noFill/>
                    </a:ln>
                  </pic:spPr>
                </pic:pic>
              </a:graphicData>
            </a:graphic>
          </wp:inline>
        </w:drawing>
      </w:r>
    </w:p>
    <w:p w14:paraId="5712CD56" w14:textId="77777777" w:rsidR="00167074" w:rsidRDefault="003342EC" w:rsidP="00167074">
      <w:pPr>
        <w:spacing w:line="360" w:lineRule="auto"/>
        <w:jc w:val="both"/>
      </w:pPr>
      <w:r>
        <w:t>I</w:t>
      </w:r>
      <w:r w:rsidR="00167074">
        <w:t>nitially patients from the Harrogate district went to two hospitals for AAA repairs: the Harrogate site HG2 7SX and the Leeds site LS1 3EX. When the Harrogate site HG2 7SX was closed in 200708, its patients started going to York (YO31 8HE) for their AAA repairs with a peak in the number in 200809 (corresponding to the trend of annual volume of the York site</w:t>
      </w:r>
      <w:r w:rsidR="00915FD6">
        <w:t xml:space="preserve"> in </w:t>
      </w:r>
      <w:r w:rsidR="00915FD6">
        <w:fldChar w:fldCharType="begin"/>
      </w:r>
      <w:r w:rsidR="00915FD6">
        <w:instrText xml:space="preserve"> REF _Ref8376727 \h </w:instrText>
      </w:r>
      <w:r w:rsidR="00915FD6">
        <w:fldChar w:fldCharType="separate"/>
      </w:r>
      <w:r w:rsidR="00915FD6">
        <w:t xml:space="preserve">Table </w:t>
      </w:r>
      <w:r w:rsidR="00915FD6">
        <w:rPr>
          <w:noProof/>
        </w:rPr>
        <w:t>1</w:t>
      </w:r>
      <w:r w:rsidR="00915FD6">
        <w:fldChar w:fldCharType="end"/>
      </w:r>
      <w:r w:rsidR="00167074">
        <w:t xml:space="preserve">). </w:t>
      </w:r>
    </w:p>
    <w:p w14:paraId="075C33D6" w14:textId="77777777" w:rsidR="0071786E" w:rsidRDefault="0071786E" w:rsidP="0071786E"/>
    <w:p w14:paraId="773D592D" w14:textId="77777777" w:rsidR="006B7DE1" w:rsidRDefault="006B7DE1" w:rsidP="00392753">
      <w:pPr>
        <w:pStyle w:val="ListParagraph"/>
        <w:numPr>
          <w:ilvl w:val="1"/>
          <w:numId w:val="7"/>
        </w:numPr>
      </w:pPr>
      <w:r>
        <w:t xml:space="preserve">The closure of the Scarborough site YO12 6QL </w:t>
      </w:r>
    </w:p>
    <w:p w14:paraId="07931BA5" w14:textId="77777777" w:rsidR="00915FD6" w:rsidRDefault="00915FD6" w:rsidP="00915FD6"/>
    <w:p w14:paraId="31984C01" w14:textId="77777777" w:rsidR="00600EF5" w:rsidRDefault="00600EF5" w:rsidP="00600EF5">
      <w:pPr>
        <w:spacing w:line="360" w:lineRule="auto"/>
        <w:jc w:val="both"/>
      </w:pPr>
      <w:r>
        <w:t xml:space="preserve">The Scarborough Hospital (postcode YO12 6QL) was closed in 200910. In the years between 200607 and 200809, this hospital still received an average of 17 AAA patients per year. Majority of patients (58%) came from the Scarborough district, 19% from the Ryedale district, 19% from the East Riding of Yorkshire district, 2% from the Wakefield district, and 2% from the Bradford district. Thus, the main catchment area for YO12 6QL includes the Scarborough district, the Ryedale district, and the East Riding of Yorkshire district. </w:t>
      </w:r>
      <w:r w:rsidRPr="00600EF5">
        <w:t>The travel pattern (for AAA repairs) of all patients from the</w:t>
      </w:r>
      <w:r>
        <w:t>se three</w:t>
      </w:r>
      <w:r w:rsidRPr="00600EF5">
        <w:t xml:space="preserve"> district</w:t>
      </w:r>
      <w:r>
        <w:t xml:space="preserve">s </w:t>
      </w:r>
      <w:r w:rsidRPr="00600EF5">
        <w:t>between 200607 an</w:t>
      </w:r>
      <w:r>
        <w:t>d 201718 was described in</w:t>
      </w:r>
      <w:r w:rsidR="003342EC">
        <w:t xml:space="preserve"> </w:t>
      </w:r>
      <w:r w:rsidR="003342EC">
        <w:fldChar w:fldCharType="begin"/>
      </w:r>
      <w:r w:rsidR="003342EC">
        <w:instrText xml:space="preserve"> REF _Ref8378132 \h </w:instrText>
      </w:r>
      <w:r w:rsidR="003342EC">
        <w:fldChar w:fldCharType="separate"/>
      </w:r>
      <w:r w:rsidR="003342EC">
        <w:t xml:space="preserve">Table </w:t>
      </w:r>
      <w:r w:rsidR="003342EC">
        <w:rPr>
          <w:noProof/>
        </w:rPr>
        <w:t>4</w:t>
      </w:r>
      <w:r w:rsidR="003342EC">
        <w:fldChar w:fldCharType="end"/>
      </w:r>
      <w:r w:rsidR="003342EC">
        <w:t xml:space="preserve"> </w:t>
      </w:r>
      <w:r w:rsidRPr="00600EF5">
        <w:t>below.</w:t>
      </w:r>
    </w:p>
    <w:p w14:paraId="3AA88BA5" w14:textId="77777777" w:rsidR="00600EF5" w:rsidRDefault="003342EC" w:rsidP="003342EC">
      <w:pPr>
        <w:pStyle w:val="Caption"/>
      </w:pPr>
      <w:bookmarkStart w:id="6" w:name="_Ref8378132"/>
      <w:r>
        <w:lastRenderedPageBreak/>
        <w:t xml:space="preserve">Table </w:t>
      </w:r>
      <w:r w:rsidR="005C3A38">
        <w:rPr>
          <w:noProof/>
        </w:rPr>
        <w:fldChar w:fldCharType="begin"/>
      </w:r>
      <w:r w:rsidR="005C3A38">
        <w:rPr>
          <w:noProof/>
        </w:rPr>
        <w:instrText xml:space="preserve"> SEQ Table \* ARABIC </w:instrText>
      </w:r>
      <w:r w:rsidR="005C3A38">
        <w:rPr>
          <w:noProof/>
        </w:rPr>
        <w:fldChar w:fldCharType="separate"/>
      </w:r>
      <w:r w:rsidR="005F4083">
        <w:rPr>
          <w:noProof/>
        </w:rPr>
        <w:t>4</w:t>
      </w:r>
      <w:r w:rsidR="005C3A38">
        <w:rPr>
          <w:noProof/>
        </w:rPr>
        <w:fldChar w:fldCharType="end"/>
      </w:r>
      <w:bookmarkEnd w:id="6"/>
      <w:r>
        <w:t>: AAA travel pattern for patients from Scarborough, Ryedale, and East Riding of Yorkshire districts</w:t>
      </w:r>
    </w:p>
    <w:p w14:paraId="6F020524" w14:textId="77777777" w:rsidR="00600EF5" w:rsidRDefault="003342EC" w:rsidP="00600EF5">
      <w:r w:rsidRPr="003342EC">
        <w:rPr>
          <w:noProof/>
          <w:lang w:eastAsia="zh-CN"/>
        </w:rPr>
        <w:drawing>
          <wp:inline distT="0" distB="0" distL="0" distR="0" wp14:anchorId="7DAFB599" wp14:editId="58D6B155">
            <wp:extent cx="5731510" cy="1078962"/>
            <wp:effectExtent l="0" t="0" r="254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078962"/>
                    </a:xfrm>
                    <a:prstGeom prst="rect">
                      <a:avLst/>
                    </a:prstGeom>
                    <a:noFill/>
                    <a:ln>
                      <a:noFill/>
                    </a:ln>
                  </pic:spPr>
                </pic:pic>
              </a:graphicData>
            </a:graphic>
          </wp:inline>
        </w:drawing>
      </w:r>
    </w:p>
    <w:p w14:paraId="3B8C2BDE" w14:textId="77777777" w:rsidR="003342EC" w:rsidRDefault="003342EC" w:rsidP="00600EF5">
      <w:r w:rsidRPr="003342EC">
        <w:rPr>
          <w:noProof/>
          <w:lang w:eastAsia="zh-CN"/>
        </w:rPr>
        <w:drawing>
          <wp:inline distT="0" distB="0" distL="0" distR="0" wp14:anchorId="3F5DEDE9" wp14:editId="117CC9EE">
            <wp:extent cx="5731510" cy="1138229"/>
            <wp:effectExtent l="0" t="0" r="254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138229"/>
                    </a:xfrm>
                    <a:prstGeom prst="rect">
                      <a:avLst/>
                    </a:prstGeom>
                    <a:noFill/>
                    <a:ln>
                      <a:noFill/>
                    </a:ln>
                  </pic:spPr>
                </pic:pic>
              </a:graphicData>
            </a:graphic>
          </wp:inline>
        </w:drawing>
      </w:r>
    </w:p>
    <w:p w14:paraId="0B7BABCF" w14:textId="77777777" w:rsidR="003342EC" w:rsidRDefault="003342EC" w:rsidP="00600EF5">
      <w:r w:rsidRPr="003342EC">
        <w:rPr>
          <w:noProof/>
          <w:lang w:eastAsia="zh-CN"/>
        </w:rPr>
        <w:drawing>
          <wp:inline distT="0" distB="0" distL="0" distR="0" wp14:anchorId="7B5B7178" wp14:editId="7E1D09C4">
            <wp:extent cx="5731510" cy="1128691"/>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128691"/>
                    </a:xfrm>
                    <a:prstGeom prst="rect">
                      <a:avLst/>
                    </a:prstGeom>
                    <a:noFill/>
                    <a:ln>
                      <a:noFill/>
                    </a:ln>
                  </pic:spPr>
                </pic:pic>
              </a:graphicData>
            </a:graphic>
          </wp:inline>
        </w:drawing>
      </w:r>
    </w:p>
    <w:p w14:paraId="227AD49B" w14:textId="77777777" w:rsidR="003342EC" w:rsidRDefault="003342EC" w:rsidP="00600EF5"/>
    <w:p w14:paraId="5D3AFED2" w14:textId="77777777" w:rsidR="001F61B5" w:rsidRDefault="003342EC" w:rsidP="001F61B5">
      <w:pPr>
        <w:spacing w:line="360" w:lineRule="auto"/>
        <w:jc w:val="both"/>
      </w:pPr>
      <w:r>
        <w:t>When the Scarborough site YO12 6QL was closed in 2009</w:t>
      </w:r>
      <w:r w:rsidR="00D3544D">
        <w:t>10</w:t>
      </w:r>
      <w:r>
        <w:t>, initially its patients started going to Hull</w:t>
      </w:r>
      <w:r w:rsidR="001F61B5">
        <w:t xml:space="preserve"> (HU3 3JZ</w:t>
      </w:r>
      <w:r>
        <w:t>) for their AAA repairs</w:t>
      </w:r>
      <w:r w:rsidR="001F61B5">
        <w:t xml:space="preserve"> (i.e. in 200910 and 201011)</w:t>
      </w:r>
      <w:r>
        <w:t xml:space="preserve"> </w:t>
      </w:r>
      <w:r w:rsidR="001F61B5">
        <w:t xml:space="preserve">but then they started shifting more to York YO31 8HE (from 201112) and towards the end year of the data (201718), it seems that all patients (supposed to belong to YO12 6QL) went to York YO31 8HE. </w:t>
      </w:r>
    </w:p>
    <w:p w14:paraId="3B4EA730" w14:textId="77777777" w:rsidR="00915FD6" w:rsidRDefault="00915FD6" w:rsidP="00915FD6"/>
    <w:p w14:paraId="5370C1AA" w14:textId="77777777" w:rsidR="006B7DE1" w:rsidRDefault="006B7DE1" w:rsidP="00392753">
      <w:pPr>
        <w:pStyle w:val="ListParagraph"/>
        <w:numPr>
          <w:ilvl w:val="1"/>
          <w:numId w:val="7"/>
        </w:numPr>
      </w:pPr>
      <w:r>
        <w:t>The closure of the Airedale site BD20 6TD</w:t>
      </w:r>
    </w:p>
    <w:p w14:paraId="27C27FCF" w14:textId="77777777" w:rsidR="001F61B5" w:rsidRDefault="001F61B5" w:rsidP="001F61B5"/>
    <w:p w14:paraId="6BADF500" w14:textId="77777777" w:rsidR="001F61B5" w:rsidRDefault="005C4C2F" w:rsidP="005C4C2F">
      <w:pPr>
        <w:spacing w:line="360" w:lineRule="auto"/>
        <w:jc w:val="both"/>
      </w:pPr>
      <w:r>
        <w:t>The Airedale General Hospital (postcode BD20 6TD) was closed in 201112</w:t>
      </w:r>
      <w:r w:rsidRPr="005C4C2F">
        <w:t>. In t</w:t>
      </w:r>
      <w:r>
        <w:t>he years between 200607 and 201011</w:t>
      </w:r>
      <w:r w:rsidRPr="005C4C2F">
        <w:t>, this hospital</w:t>
      </w:r>
      <w:r w:rsidR="00A02C82">
        <w:t xml:space="preserve"> </w:t>
      </w:r>
      <w:r>
        <w:t>received an average of 6</w:t>
      </w:r>
      <w:r w:rsidRPr="005C4C2F">
        <w:t xml:space="preserve"> AAA patients per year. </w:t>
      </w:r>
      <w:r>
        <w:t xml:space="preserve">41% of patients came from the Bradford district, 34% from the Pendle district, 22% from the Craven district, and 3% from the Burnley district. </w:t>
      </w:r>
      <w:r w:rsidRPr="005C4C2F">
        <w:t xml:space="preserve">Thus, the </w:t>
      </w:r>
      <w:r>
        <w:t>main catchment area of BD20 6TD</w:t>
      </w:r>
      <w:r w:rsidRPr="005C4C2F">
        <w:t xml:space="preserve"> includes the </w:t>
      </w:r>
      <w:r>
        <w:t>Bradford district</w:t>
      </w:r>
      <w:r w:rsidRPr="005C4C2F">
        <w:t xml:space="preserve">, the </w:t>
      </w:r>
      <w:r>
        <w:t>Pendle district</w:t>
      </w:r>
      <w:r w:rsidRPr="005C4C2F">
        <w:t xml:space="preserve">, and the </w:t>
      </w:r>
      <w:r>
        <w:t>Craven district</w:t>
      </w:r>
      <w:r w:rsidRPr="005C4C2F">
        <w:t>. The travel pattern (for AAA repairs) of all patients from these three districts between 200607 and</w:t>
      </w:r>
      <w:r>
        <w:t xml:space="preserve"> 201718 was described in </w:t>
      </w:r>
      <w:r w:rsidR="00D3544D">
        <w:fldChar w:fldCharType="begin"/>
      </w:r>
      <w:r w:rsidR="00D3544D">
        <w:instrText xml:space="preserve"> REF _Ref8380709 \h </w:instrText>
      </w:r>
      <w:r w:rsidR="00D3544D">
        <w:fldChar w:fldCharType="separate"/>
      </w:r>
      <w:r w:rsidR="00D3544D">
        <w:t xml:space="preserve">Table </w:t>
      </w:r>
      <w:r w:rsidR="00D3544D">
        <w:rPr>
          <w:noProof/>
        </w:rPr>
        <w:t>5</w:t>
      </w:r>
      <w:r w:rsidR="00D3544D">
        <w:fldChar w:fldCharType="end"/>
      </w:r>
      <w:r w:rsidRPr="005C4C2F">
        <w:t xml:space="preserve"> below.</w:t>
      </w:r>
    </w:p>
    <w:p w14:paraId="0B9CE1D0" w14:textId="77777777" w:rsidR="005C4C2F" w:rsidRDefault="005C4C2F" w:rsidP="005C4C2F">
      <w:pPr>
        <w:spacing w:line="360" w:lineRule="auto"/>
        <w:jc w:val="both"/>
      </w:pPr>
    </w:p>
    <w:p w14:paraId="1C8F8FC1" w14:textId="77777777" w:rsidR="005C4C2F" w:rsidRDefault="005C4C2F" w:rsidP="005C4C2F">
      <w:pPr>
        <w:spacing w:line="360" w:lineRule="auto"/>
        <w:jc w:val="both"/>
      </w:pPr>
    </w:p>
    <w:p w14:paraId="4A8A9284" w14:textId="77777777" w:rsidR="005C4C2F" w:rsidRDefault="00D3544D" w:rsidP="00D3544D">
      <w:pPr>
        <w:pStyle w:val="Caption"/>
      </w:pPr>
      <w:bookmarkStart w:id="7" w:name="_Ref8380709"/>
      <w:r>
        <w:lastRenderedPageBreak/>
        <w:t xml:space="preserve">Table </w:t>
      </w:r>
      <w:r w:rsidR="005C3A38">
        <w:rPr>
          <w:noProof/>
        </w:rPr>
        <w:fldChar w:fldCharType="begin"/>
      </w:r>
      <w:r w:rsidR="005C3A38">
        <w:rPr>
          <w:noProof/>
        </w:rPr>
        <w:instrText xml:space="preserve"> SEQ Table \* ARABIC </w:instrText>
      </w:r>
      <w:r w:rsidR="005C3A38">
        <w:rPr>
          <w:noProof/>
        </w:rPr>
        <w:fldChar w:fldCharType="separate"/>
      </w:r>
      <w:r w:rsidR="005F4083">
        <w:rPr>
          <w:noProof/>
        </w:rPr>
        <w:t>5</w:t>
      </w:r>
      <w:r w:rsidR="005C3A38">
        <w:rPr>
          <w:noProof/>
        </w:rPr>
        <w:fldChar w:fldCharType="end"/>
      </w:r>
      <w:bookmarkEnd w:id="7"/>
      <w:r>
        <w:t>:</w:t>
      </w:r>
      <w:r w:rsidRPr="00D3544D">
        <w:t xml:space="preserve"> </w:t>
      </w:r>
      <w:r>
        <w:t>AAA travel pattern for patients from Bradford, Pendle, and Craven districts</w:t>
      </w:r>
    </w:p>
    <w:p w14:paraId="41239CA8" w14:textId="77777777" w:rsidR="005C4C2F" w:rsidRDefault="005C4C2F" w:rsidP="001F61B5">
      <w:r w:rsidRPr="005C4C2F">
        <w:rPr>
          <w:noProof/>
          <w:lang w:eastAsia="zh-CN"/>
        </w:rPr>
        <w:drawing>
          <wp:inline distT="0" distB="0" distL="0" distR="0" wp14:anchorId="3B0CAA1A" wp14:editId="6FE671B2">
            <wp:extent cx="5731510" cy="1198407"/>
            <wp:effectExtent l="0" t="0" r="254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198407"/>
                    </a:xfrm>
                    <a:prstGeom prst="rect">
                      <a:avLst/>
                    </a:prstGeom>
                    <a:noFill/>
                    <a:ln>
                      <a:noFill/>
                    </a:ln>
                  </pic:spPr>
                </pic:pic>
              </a:graphicData>
            </a:graphic>
          </wp:inline>
        </w:drawing>
      </w:r>
    </w:p>
    <w:p w14:paraId="0E3DB68C" w14:textId="77777777" w:rsidR="001F61B5" w:rsidRDefault="005C4C2F" w:rsidP="001F61B5">
      <w:r w:rsidRPr="005C4C2F">
        <w:rPr>
          <w:noProof/>
          <w:lang w:eastAsia="zh-CN"/>
        </w:rPr>
        <w:drawing>
          <wp:inline distT="0" distB="0" distL="0" distR="0" wp14:anchorId="76A4BA17" wp14:editId="2883EB15">
            <wp:extent cx="5731510" cy="1235305"/>
            <wp:effectExtent l="0" t="0" r="254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235305"/>
                    </a:xfrm>
                    <a:prstGeom prst="rect">
                      <a:avLst/>
                    </a:prstGeom>
                    <a:noFill/>
                    <a:ln>
                      <a:noFill/>
                    </a:ln>
                  </pic:spPr>
                </pic:pic>
              </a:graphicData>
            </a:graphic>
          </wp:inline>
        </w:drawing>
      </w:r>
    </w:p>
    <w:p w14:paraId="7090C058" w14:textId="77777777" w:rsidR="005C4C2F" w:rsidRDefault="00D3544D" w:rsidP="001F61B5">
      <w:r w:rsidRPr="00D3544D">
        <w:rPr>
          <w:noProof/>
          <w:lang w:eastAsia="zh-CN"/>
        </w:rPr>
        <w:drawing>
          <wp:inline distT="0" distB="0" distL="0" distR="0" wp14:anchorId="67DE5FAA" wp14:editId="5908F132">
            <wp:extent cx="5731510" cy="1128691"/>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1128691"/>
                    </a:xfrm>
                    <a:prstGeom prst="rect">
                      <a:avLst/>
                    </a:prstGeom>
                    <a:noFill/>
                    <a:ln>
                      <a:noFill/>
                    </a:ln>
                  </pic:spPr>
                </pic:pic>
              </a:graphicData>
            </a:graphic>
          </wp:inline>
        </w:drawing>
      </w:r>
    </w:p>
    <w:p w14:paraId="7C2FE59A" w14:textId="77777777" w:rsidR="001F61B5" w:rsidRDefault="001F61B5" w:rsidP="001F61B5"/>
    <w:p w14:paraId="54884C0A" w14:textId="77777777" w:rsidR="00D3544D" w:rsidRDefault="00D3544D" w:rsidP="004333CD">
      <w:pPr>
        <w:spacing w:line="360" w:lineRule="auto"/>
        <w:jc w:val="both"/>
      </w:pPr>
      <w:r>
        <w:t>When the Airedale site BD20 6TD</w:t>
      </w:r>
      <w:r w:rsidR="004333CD">
        <w:t xml:space="preserve"> was closed in 201112</w:t>
      </w:r>
      <w:r>
        <w:t xml:space="preserve">, </w:t>
      </w:r>
      <w:r w:rsidR="004333CD">
        <w:t xml:space="preserve">its patients from the Bradford district started going to the Huddersfield site HD3 3EA whereas its patients from the Pendle and Craven districts started going to the Bradford site BD9 6RJ. </w:t>
      </w:r>
    </w:p>
    <w:p w14:paraId="0BDA08A8" w14:textId="77777777" w:rsidR="004333CD" w:rsidRDefault="004333CD" w:rsidP="004333CD">
      <w:pPr>
        <w:spacing w:line="360" w:lineRule="auto"/>
        <w:jc w:val="both"/>
      </w:pPr>
    </w:p>
    <w:p w14:paraId="468AD385" w14:textId="77777777" w:rsidR="006B7DE1" w:rsidRDefault="006B7DE1" w:rsidP="00392753">
      <w:pPr>
        <w:pStyle w:val="ListParagraph"/>
        <w:numPr>
          <w:ilvl w:val="1"/>
          <w:numId w:val="7"/>
        </w:numPr>
      </w:pPr>
      <w:r>
        <w:t>The closure of the NE Lincolnshire site DN33 2BA</w:t>
      </w:r>
    </w:p>
    <w:p w14:paraId="56E181E3" w14:textId="77777777" w:rsidR="004333CD" w:rsidRDefault="004333CD" w:rsidP="004333CD"/>
    <w:p w14:paraId="2440C2E0" w14:textId="77777777" w:rsidR="004333CD" w:rsidRDefault="00A02C82" w:rsidP="00017C43">
      <w:pPr>
        <w:spacing w:line="360" w:lineRule="auto"/>
        <w:jc w:val="both"/>
      </w:pPr>
      <w:r w:rsidRPr="00A02C82">
        <w:t xml:space="preserve">The </w:t>
      </w:r>
      <w:r>
        <w:t xml:space="preserve">Diana Princess of Wales Hospital in North East Lincolnshire </w:t>
      </w:r>
      <w:r w:rsidRPr="00A02C82">
        <w:t xml:space="preserve">(postcode </w:t>
      </w:r>
      <w:r>
        <w:t>DN33 2BA</w:t>
      </w:r>
      <w:r w:rsidR="00017C43">
        <w:t>) was closed in 20</w:t>
      </w:r>
      <w:r w:rsidRPr="00A02C82">
        <w:t>12</w:t>
      </w:r>
      <w:r w:rsidR="00017C43">
        <w:t>13</w:t>
      </w:r>
      <w:r w:rsidRPr="00A02C82">
        <w:t>. In the years between 20060</w:t>
      </w:r>
      <w:r w:rsidR="00017C43">
        <w:t>7 and 201112</w:t>
      </w:r>
      <w:r>
        <w:t>, this hospital rece</w:t>
      </w:r>
      <w:r w:rsidR="00017C43">
        <w:t>ived an average of 23</w:t>
      </w:r>
      <w:r>
        <w:t xml:space="preserve"> AAA patients per year. 46</w:t>
      </w:r>
      <w:r w:rsidRPr="00A02C82">
        <w:t>% of</w:t>
      </w:r>
      <w:r>
        <w:t xml:space="preserve"> patients came from the North East Lincolnshire</w:t>
      </w:r>
      <w:r w:rsidR="00BE2BA7">
        <w:t xml:space="preserve"> district, 34% from the North Lincolnshire</w:t>
      </w:r>
      <w:r w:rsidRPr="00A02C82">
        <w:t xml:space="preserve"> </w:t>
      </w:r>
      <w:r w:rsidR="00BE2BA7">
        <w:t>district, 8</w:t>
      </w:r>
      <w:r w:rsidRPr="00A02C82">
        <w:t xml:space="preserve">% from the </w:t>
      </w:r>
      <w:r w:rsidR="00BE2BA7" w:rsidRPr="00BE2BA7">
        <w:t>East Lindsey</w:t>
      </w:r>
      <w:r w:rsidRPr="00A02C82">
        <w:t xml:space="preserve"> district, </w:t>
      </w:r>
      <w:r w:rsidR="00BE2BA7">
        <w:t>6% from the West</w:t>
      </w:r>
      <w:r w:rsidR="00BE2BA7" w:rsidRPr="00BE2BA7">
        <w:t xml:space="preserve"> Lindsey</w:t>
      </w:r>
      <w:r w:rsidR="00BE2BA7">
        <w:t xml:space="preserve"> district, 3% from the </w:t>
      </w:r>
      <w:r w:rsidR="00BE2BA7" w:rsidRPr="00BE2BA7">
        <w:t xml:space="preserve"> </w:t>
      </w:r>
      <w:r w:rsidRPr="00A02C82">
        <w:t>and 3% from the</w:t>
      </w:r>
      <w:r w:rsidR="00BE2BA7">
        <w:t xml:space="preserve"> </w:t>
      </w:r>
      <w:r w:rsidR="00BE2BA7" w:rsidRPr="00BE2BA7">
        <w:t>East Riding of Yorkshire</w:t>
      </w:r>
      <w:r w:rsidR="00BE2BA7">
        <w:t xml:space="preserve"> district, 1% from the Selby district, and 1% from the York district</w:t>
      </w:r>
      <w:r w:rsidRPr="00A02C82">
        <w:t xml:space="preserve">. Thus, the main catchment area of </w:t>
      </w:r>
      <w:r w:rsidR="00BE2BA7">
        <w:t>DN33 2BA</w:t>
      </w:r>
      <w:r w:rsidR="00BE2BA7" w:rsidRPr="00A02C82">
        <w:t xml:space="preserve"> </w:t>
      </w:r>
      <w:r w:rsidRPr="00A02C82">
        <w:t xml:space="preserve">includes the </w:t>
      </w:r>
      <w:r w:rsidR="00BE2BA7">
        <w:t>North East Lincolnshire district</w:t>
      </w:r>
      <w:r w:rsidRPr="00A02C82">
        <w:t xml:space="preserve">, the </w:t>
      </w:r>
      <w:r w:rsidR="00BE2BA7">
        <w:t>North Lincolnshire district</w:t>
      </w:r>
      <w:r w:rsidRPr="00A02C82">
        <w:t xml:space="preserve">, </w:t>
      </w:r>
      <w:r w:rsidR="009825B0" w:rsidRPr="00A02C82">
        <w:t xml:space="preserve">the </w:t>
      </w:r>
      <w:r w:rsidR="009825B0" w:rsidRPr="00BE2BA7">
        <w:t>East Lindsey</w:t>
      </w:r>
      <w:r w:rsidR="009825B0" w:rsidRPr="00A02C82">
        <w:t xml:space="preserve"> district</w:t>
      </w:r>
      <w:r w:rsidR="009825B0">
        <w:t>, and the</w:t>
      </w:r>
      <w:r w:rsidR="009825B0" w:rsidRPr="009825B0">
        <w:t xml:space="preserve"> </w:t>
      </w:r>
      <w:r w:rsidR="009825B0">
        <w:t>West</w:t>
      </w:r>
      <w:r w:rsidR="009825B0" w:rsidRPr="00BE2BA7">
        <w:t xml:space="preserve"> Lindsey</w:t>
      </w:r>
      <w:r w:rsidR="009825B0">
        <w:t xml:space="preserve"> district</w:t>
      </w:r>
      <w:r w:rsidR="00017C43">
        <w:t xml:space="preserve">. </w:t>
      </w:r>
      <w:r w:rsidRPr="00A02C82">
        <w:t xml:space="preserve">The travel pattern (for AAA repairs) </w:t>
      </w:r>
      <w:r w:rsidR="000B2D25">
        <w:t>of all patients from these four</w:t>
      </w:r>
      <w:r w:rsidRPr="00A02C82">
        <w:t xml:space="preserve"> districts between 200607 and </w:t>
      </w:r>
      <w:r w:rsidR="00524282">
        <w:t xml:space="preserve">201718 was described in </w:t>
      </w:r>
      <w:r w:rsidR="00524282">
        <w:fldChar w:fldCharType="begin"/>
      </w:r>
      <w:r w:rsidR="00524282">
        <w:instrText xml:space="preserve"> REF _Ref8390130 \h </w:instrText>
      </w:r>
      <w:r w:rsidR="00524282">
        <w:fldChar w:fldCharType="separate"/>
      </w:r>
      <w:r w:rsidR="00524282">
        <w:t xml:space="preserve">Table </w:t>
      </w:r>
      <w:r w:rsidR="00524282">
        <w:rPr>
          <w:noProof/>
        </w:rPr>
        <w:t>6</w:t>
      </w:r>
      <w:r w:rsidR="00524282">
        <w:fldChar w:fldCharType="end"/>
      </w:r>
      <w:r w:rsidR="00524282">
        <w:t xml:space="preserve"> </w:t>
      </w:r>
      <w:r w:rsidRPr="00A02C82">
        <w:t>below.</w:t>
      </w:r>
    </w:p>
    <w:p w14:paraId="6380C3F2" w14:textId="77777777" w:rsidR="00D62968" w:rsidRDefault="00D62968" w:rsidP="00D62968">
      <w:pPr>
        <w:pStyle w:val="Caption"/>
      </w:pPr>
      <w:bookmarkStart w:id="8" w:name="_Ref8390130"/>
      <w:r>
        <w:lastRenderedPageBreak/>
        <w:t xml:space="preserve">Table </w:t>
      </w:r>
      <w:r w:rsidR="005C3A38">
        <w:rPr>
          <w:noProof/>
        </w:rPr>
        <w:fldChar w:fldCharType="begin"/>
      </w:r>
      <w:r w:rsidR="005C3A38">
        <w:rPr>
          <w:noProof/>
        </w:rPr>
        <w:instrText xml:space="preserve"> SEQ Table \* ARABIC </w:instrText>
      </w:r>
      <w:r w:rsidR="005C3A38">
        <w:rPr>
          <w:noProof/>
        </w:rPr>
        <w:fldChar w:fldCharType="separate"/>
      </w:r>
      <w:r w:rsidR="005F4083">
        <w:rPr>
          <w:noProof/>
        </w:rPr>
        <w:t>6</w:t>
      </w:r>
      <w:r w:rsidR="005C3A38">
        <w:rPr>
          <w:noProof/>
        </w:rPr>
        <w:fldChar w:fldCharType="end"/>
      </w:r>
      <w:bookmarkEnd w:id="8"/>
      <w:r>
        <w:t>:</w:t>
      </w:r>
      <w:r w:rsidR="00524282" w:rsidRPr="00524282">
        <w:t xml:space="preserve"> </w:t>
      </w:r>
      <w:r w:rsidR="00524282">
        <w:t>AAA travel pattern for patients from NE Lincoln, North Lincoln, East Lindsey and West Lindsey districts</w:t>
      </w:r>
    </w:p>
    <w:p w14:paraId="5DE9FA12" w14:textId="77777777" w:rsidR="004333CD" w:rsidRDefault="00017C43" w:rsidP="004333CD">
      <w:r w:rsidRPr="00017C43">
        <w:rPr>
          <w:noProof/>
          <w:lang w:eastAsia="zh-CN"/>
        </w:rPr>
        <w:drawing>
          <wp:inline distT="0" distB="0" distL="0" distR="0" wp14:anchorId="4719EF58" wp14:editId="48FFD730">
            <wp:extent cx="5731510" cy="944840"/>
            <wp:effectExtent l="0" t="0" r="254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944840"/>
                    </a:xfrm>
                    <a:prstGeom prst="rect">
                      <a:avLst/>
                    </a:prstGeom>
                    <a:noFill/>
                    <a:ln>
                      <a:noFill/>
                    </a:ln>
                  </pic:spPr>
                </pic:pic>
              </a:graphicData>
            </a:graphic>
          </wp:inline>
        </w:drawing>
      </w:r>
    </w:p>
    <w:p w14:paraId="742B789A" w14:textId="77777777" w:rsidR="00017C43" w:rsidRDefault="00017C43" w:rsidP="004333CD">
      <w:r w:rsidRPr="00017C43">
        <w:rPr>
          <w:noProof/>
          <w:lang w:eastAsia="zh-CN"/>
        </w:rPr>
        <w:drawing>
          <wp:inline distT="0" distB="0" distL="0" distR="0" wp14:anchorId="19EF2C93" wp14:editId="078DB89B">
            <wp:extent cx="5731510" cy="1228726"/>
            <wp:effectExtent l="0" t="0" r="254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228726"/>
                    </a:xfrm>
                    <a:prstGeom prst="rect">
                      <a:avLst/>
                    </a:prstGeom>
                    <a:noFill/>
                    <a:ln>
                      <a:noFill/>
                    </a:ln>
                  </pic:spPr>
                </pic:pic>
              </a:graphicData>
            </a:graphic>
          </wp:inline>
        </w:drawing>
      </w:r>
    </w:p>
    <w:p w14:paraId="42BE93A5" w14:textId="77777777" w:rsidR="00017C43" w:rsidRDefault="00D62968" w:rsidP="004333CD">
      <w:r w:rsidRPr="00D62968">
        <w:rPr>
          <w:noProof/>
          <w:lang w:eastAsia="zh-CN"/>
        </w:rPr>
        <w:drawing>
          <wp:inline distT="0" distB="0" distL="0" distR="0" wp14:anchorId="62EFC46F" wp14:editId="234FC405">
            <wp:extent cx="5731510" cy="1379526"/>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379526"/>
                    </a:xfrm>
                    <a:prstGeom prst="rect">
                      <a:avLst/>
                    </a:prstGeom>
                    <a:noFill/>
                    <a:ln>
                      <a:noFill/>
                    </a:ln>
                  </pic:spPr>
                </pic:pic>
              </a:graphicData>
            </a:graphic>
          </wp:inline>
        </w:drawing>
      </w:r>
    </w:p>
    <w:p w14:paraId="243309C5" w14:textId="77777777" w:rsidR="00017C43" w:rsidRDefault="00D62968" w:rsidP="004333CD">
      <w:r w:rsidRPr="00D62968">
        <w:rPr>
          <w:noProof/>
          <w:lang w:eastAsia="zh-CN"/>
        </w:rPr>
        <w:drawing>
          <wp:inline distT="0" distB="0" distL="0" distR="0" wp14:anchorId="461FCAA9" wp14:editId="4CAE7CE0">
            <wp:extent cx="5731510" cy="1398118"/>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1398118"/>
                    </a:xfrm>
                    <a:prstGeom prst="rect">
                      <a:avLst/>
                    </a:prstGeom>
                    <a:noFill/>
                    <a:ln>
                      <a:noFill/>
                    </a:ln>
                  </pic:spPr>
                </pic:pic>
              </a:graphicData>
            </a:graphic>
          </wp:inline>
        </w:drawing>
      </w:r>
    </w:p>
    <w:p w14:paraId="550A8276" w14:textId="77777777" w:rsidR="004333CD" w:rsidRDefault="004333CD" w:rsidP="004333CD"/>
    <w:p w14:paraId="0F3BD60A" w14:textId="77777777" w:rsidR="00524282" w:rsidRDefault="00524282" w:rsidP="00524282">
      <w:pPr>
        <w:spacing w:line="360" w:lineRule="auto"/>
        <w:jc w:val="both"/>
      </w:pPr>
      <w:r>
        <w:t xml:space="preserve">When the NE Lincolnshire site </w:t>
      </w:r>
      <w:r w:rsidRPr="00524282">
        <w:t xml:space="preserve">DN33 2BA </w:t>
      </w:r>
      <w:r>
        <w:t xml:space="preserve">was closed in 201112, its patients started going to the Hull site HY3 2JZ. </w:t>
      </w:r>
    </w:p>
    <w:p w14:paraId="058F0A10" w14:textId="77777777" w:rsidR="004333CD" w:rsidRDefault="004333CD" w:rsidP="004333CD"/>
    <w:p w14:paraId="5B81C5C7" w14:textId="77777777" w:rsidR="006B7DE1" w:rsidRDefault="006B7DE1" w:rsidP="00392753">
      <w:pPr>
        <w:pStyle w:val="ListParagraph"/>
        <w:numPr>
          <w:ilvl w:val="1"/>
          <w:numId w:val="7"/>
        </w:numPr>
      </w:pPr>
      <w:r>
        <w:t>The closure of the Wakefield site WF1 4DG</w:t>
      </w:r>
    </w:p>
    <w:p w14:paraId="1C8D4574" w14:textId="77777777" w:rsidR="00A1701E" w:rsidRDefault="00A1701E" w:rsidP="00184CDE"/>
    <w:p w14:paraId="72AE24AA" w14:textId="77777777" w:rsidR="00524282" w:rsidRDefault="00524282" w:rsidP="00524282">
      <w:pPr>
        <w:spacing w:line="360" w:lineRule="auto"/>
        <w:jc w:val="both"/>
      </w:pPr>
      <w:r w:rsidRPr="00A02C82">
        <w:t xml:space="preserve">The </w:t>
      </w:r>
      <w:r>
        <w:t xml:space="preserve">Pinderfields Hospital in Wakefield </w:t>
      </w:r>
      <w:r w:rsidRPr="00A02C82">
        <w:t xml:space="preserve">(postcode </w:t>
      </w:r>
      <w:r>
        <w:t>WF1 4DG) was closed in 201314</w:t>
      </w:r>
      <w:r w:rsidRPr="00A02C82">
        <w:t>. In the years between 20060</w:t>
      </w:r>
      <w:r>
        <w:t>7 and 201213, this hospital received an average of 47 AAA patients per year. 64</w:t>
      </w:r>
      <w:r w:rsidRPr="00A02C82">
        <w:t>% of</w:t>
      </w:r>
      <w:r>
        <w:t xml:space="preserve"> patients came from the</w:t>
      </w:r>
      <w:r w:rsidR="000D7C65">
        <w:t xml:space="preserve"> </w:t>
      </w:r>
      <w:r>
        <w:t>Wakefield district, 23% from the Kirklees</w:t>
      </w:r>
      <w:r w:rsidRPr="00A02C82">
        <w:t xml:space="preserve"> </w:t>
      </w:r>
      <w:r>
        <w:t>district, 9% from the Leeds</w:t>
      </w:r>
      <w:r w:rsidRPr="00A02C82">
        <w:t xml:space="preserve"> district, </w:t>
      </w:r>
      <w:r>
        <w:t>2% from the Selby</w:t>
      </w:r>
      <w:r w:rsidR="000B2D25">
        <w:t xml:space="preserve"> district, 1</w:t>
      </w:r>
      <w:r>
        <w:t>% from</w:t>
      </w:r>
      <w:r w:rsidR="000B2D25">
        <w:t xml:space="preserve"> Barnsley, East Riding of Yorkshire and Harrogate districts</w:t>
      </w:r>
      <w:r w:rsidRPr="00A02C82">
        <w:t xml:space="preserve">. Thus, the main catchment area </w:t>
      </w:r>
      <w:proofErr w:type="gramStart"/>
      <w:r w:rsidRPr="00A02C82">
        <w:t xml:space="preserve">of  </w:t>
      </w:r>
      <w:r w:rsidR="000B2D25">
        <w:t>WF</w:t>
      </w:r>
      <w:proofErr w:type="gramEnd"/>
      <w:r w:rsidR="000B2D25">
        <w:t>1 4DG</w:t>
      </w:r>
      <w:r w:rsidR="000B2D25" w:rsidRPr="00A02C82">
        <w:t xml:space="preserve"> </w:t>
      </w:r>
      <w:r w:rsidRPr="00A02C82">
        <w:t xml:space="preserve">includes the </w:t>
      </w:r>
      <w:r w:rsidR="000B2D25">
        <w:t>Wakefield</w:t>
      </w:r>
      <w:r>
        <w:t xml:space="preserve"> </w:t>
      </w:r>
      <w:r>
        <w:lastRenderedPageBreak/>
        <w:t>district</w:t>
      </w:r>
      <w:r w:rsidRPr="00A02C82">
        <w:t xml:space="preserve">, the </w:t>
      </w:r>
      <w:r w:rsidR="000B2D25">
        <w:t>Kirklees</w:t>
      </w:r>
      <w:r>
        <w:t xml:space="preserve"> district</w:t>
      </w:r>
      <w:r w:rsidRPr="00A02C82">
        <w:t>, the</w:t>
      </w:r>
      <w:r w:rsidR="000B2D25">
        <w:t xml:space="preserve"> Leeds</w:t>
      </w:r>
      <w:r w:rsidRPr="00A02C82">
        <w:t xml:space="preserve"> district</w:t>
      </w:r>
      <w:r>
        <w:t xml:space="preserve">. </w:t>
      </w:r>
      <w:r w:rsidRPr="00A02C82">
        <w:t xml:space="preserve">The travel pattern (for AAA repairs) of all patients from these three districts between 200607 and </w:t>
      </w:r>
      <w:r w:rsidR="000B2D25">
        <w:t xml:space="preserve">201718 was described in </w:t>
      </w:r>
      <w:r w:rsidR="006951BF">
        <w:fldChar w:fldCharType="begin"/>
      </w:r>
      <w:r w:rsidR="006951BF">
        <w:instrText xml:space="preserve"> REF _Ref8391430 \h </w:instrText>
      </w:r>
      <w:r w:rsidR="006951BF">
        <w:fldChar w:fldCharType="separate"/>
      </w:r>
      <w:r w:rsidR="006951BF">
        <w:t xml:space="preserve">Table </w:t>
      </w:r>
      <w:r w:rsidR="006951BF">
        <w:rPr>
          <w:noProof/>
        </w:rPr>
        <w:t>7</w:t>
      </w:r>
      <w:r w:rsidR="006951BF">
        <w:fldChar w:fldCharType="end"/>
      </w:r>
      <w:r w:rsidR="006951BF">
        <w:t xml:space="preserve"> </w:t>
      </w:r>
      <w:r w:rsidRPr="00A02C82">
        <w:t>below.</w:t>
      </w:r>
    </w:p>
    <w:p w14:paraId="1DC1906F" w14:textId="77777777" w:rsidR="00524282" w:rsidRDefault="006951BF" w:rsidP="006951BF">
      <w:pPr>
        <w:pStyle w:val="Caption"/>
      </w:pPr>
      <w:bookmarkStart w:id="9" w:name="_Ref8391430"/>
      <w:r>
        <w:t xml:space="preserve">Table </w:t>
      </w:r>
      <w:r w:rsidR="005C3A38">
        <w:rPr>
          <w:noProof/>
        </w:rPr>
        <w:fldChar w:fldCharType="begin"/>
      </w:r>
      <w:r w:rsidR="005C3A38">
        <w:rPr>
          <w:noProof/>
        </w:rPr>
        <w:instrText xml:space="preserve"> SEQ Table \* ARABIC </w:instrText>
      </w:r>
      <w:r w:rsidR="005C3A38">
        <w:rPr>
          <w:noProof/>
        </w:rPr>
        <w:fldChar w:fldCharType="separate"/>
      </w:r>
      <w:r w:rsidR="005F4083">
        <w:rPr>
          <w:noProof/>
        </w:rPr>
        <w:t>7</w:t>
      </w:r>
      <w:r w:rsidR="005C3A38">
        <w:rPr>
          <w:noProof/>
        </w:rPr>
        <w:fldChar w:fldCharType="end"/>
      </w:r>
      <w:bookmarkEnd w:id="9"/>
      <w:r>
        <w:t>:</w:t>
      </w:r>
      <w:r w:rsidRPr="006951BF">
        <w:t xml:space="preserve"> </w:t>
      </w:r>
      <w:r>
        <w:t>AAA travel pattern for patients from Wakefield, Kirklees, and Leeds districts</w:t>
      </w:r>
    </w:p>
    <w:p w14:paraId="25CEC3C6" w14:textId="77777777" w:rsidR="000B2D25" w:rsidRDefault="000D7C65" w:rsidP="00184CDE">
      <w:r w:rsidRPr="000D7C65">
        <w:rPr>
          <w:noProof/>
          <w:lang w:eastAsia="zh-CN"/>
        </w:rPr>
        <w:drawing>
          <wp:inline distT="0" distB="0" distL="0" distR="0" wp14:anchorId="5CF98227" wp14:editId="6B02F7C5">
            <wp:extent cx="5731510" cy="1161125"/>
            <wp:effectExtent l="0" t="0" r="254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1161125"/>
                    </a:xfrm>
                    <a:prstGeom prst="rect">
                      <a:avLst/>
                    </a:prstGeom>
                    <a:noFill/>
                    <a:ln>
                      <a:noFill/>
                    </a:ln>
                  </pic:spPr>
                </pic:pic>
              </a:graphicData>
            </a:graphic>
          </wp:inline>
        </w:drawing>
      </w:r>
    </w:p>
    <w:p w14:paraId="0839476B" w14:textId="77777777" w:rsidR="000D7C65" w:rsidRDefault="000D7C65" w:rsidP="00184CDE">
      <w:r w:rsidRPr="000D7C65">
        <w:rPr>
          <w:noProof/>
          <w:lang w:eastAsia="zh-CN"/>
        </w:rPr>
        <w:drawing>
          <wp:inline distT="0" distB="0" distL="0" distR="0" wp14:anchorId="6BE82618" wp14:editId="440A455A">
            <wp:extent cx="5731510" cy="1217379"/>
            <wp:effectExtent l="0" t="0" r="254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217379"/>
                    </a:xfrm>
                    <a:prstGeom prst="rect">
                      <a:avLst/>
                    </a:prstGeom>
                    <a:noFill/>
                    <a:ln>
                      <a:noFill/>
                    </a:ln>
                  </pic:spPr>
                </pic:pic>
              </a:graphicData>
            </a:graphic>
          </wp:inline>
        </w:drawing>
      </w:r>
    </w:p>
    <w:p w14:paraId="18758819" w14:textId="77777777" w:rsidR="000D7C65" w:rsidRDefault="000D7C65" w:rsidP="00184CDE">
      <w:r w:rsidRPr="000D7C65">
        <w:rPr>
          <w:noProof/>
          <w:lang w:eastAsia="zh-CN"/>
        </w:rPr>
        <w:drawing>
          <wp:inline distT="0" distB="0" distL="0" distR="0" wp14:anchorId="5913776B" wp14:editId="5AD92906">
            <wp:extent cx="5731510" cy="1482005"/>
            <wp:effectExtent l="0" t="0" r="254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1482005"/>
                    </a:xfrm>
                    <a:prstGeom prst="rect">
                      <a:avLst/>
                    </a:prstGeom>
                    <a:noFill/>
                    <a:ln>
                      <a:noFill/>
                    </a:ln>
                  </pic:spPr>
                </pic:pic>
              </a:graphicData>
            </a:graphic>
          </wp:inline>
        </w:drawing>
      </w:r>
    </w:p>
    <w:p w14:paraId="6FF2F1B5" w14:textId="77777777" w:rsidR="00524282" w:rsidRDefault="00524282" w:rsidP="00184CDE"/>
    <w:p w14:paraId="562FA9A9" w14:textId="77777777" w:rsidR="006951BF" w:rsidRDefault="006951BF" w:rsidP="006951BF">
      <w:pPr>
        <w:spacing w:line="360" w:lineRule="auto"/>
        <w:jc w:val="both"/>
      </w:pPr>
      <w:r>
        <w:t>When the Wakefield site</w:t>
      </w:r>
      <w:r w:rsidRPr="00A02C82">
        <w:t xml:space="preserve"> </w:t>
      </w:r>
      <w:r>
        <w:t xml:space="preserve">WF1 4DG was closed in 201314, its patients started going to the Leeds site LS1 3EX. </w:t>
      </w:r>
    </w:p>
    <w:p w14:paraId="7D8C8A70" w14:textId="77777777" w:rsidR="00B14C57" w:rsidRDefault="00B14C57" w:rsidP="006951BF">
      <w:pPr>
        <w:spacing w:line="360" w:lineRule="auto"/>
        <w:jc w:val="both"/>
      </w:pPr>
    </w:p>
    <w:p w14:paraId="13A7E6EC" w14:textId="77777777" w:rsidR="006951BF" w:rsidRDefault="00392753" w:rsidP="00392753">
      <w:pPr>
        <w:pStyle w:val="ListParagraph"/>
        <w:numPr>
          <w:ilvl w:val="0"/>
          <w:numId w:val="7"/>
        </w:numPr>
      </w:pPr>
      <w:r>
        <w:t>IMPACT OF RECONFIGURATION ON OUTCOMES</w:t>
      </w:r>
    </w:p>
    <w:p w14:paraId="2B52A581" w14:textId="77777777" w:rsidR="00B14C57" w:rsidRDefault="00B14C57" w:rsidP="006951BF"/>
    <w:p w14:paraId="1CA4216E" w14:textId="77777777" w:rsidR="00D21BD2" w:rsidRDefault="00B14C57" w:rsidP="00415CCC">
      <w:pPr>
        <w:spacing w:line="360" w:lineRule="auto"/>
        <w:jc w:val="both"/>
      </w:pPr>
      <w:r>
        <w:t xml:space="preserve">Based on the investigation described in section 4, </w:t>
      </w:r>
      <w:r w:rsidR="00D21BD2">
        <w:t xml:space="preserve">four groups of vascular sites that that were directly affected by the service reconfigurations in the region were identified: </w:t>
      </w:r>
    </w:p>
    <w:p w14:paraId="5FA32B16" w14:textId="77777777" w:rsidR="00B14C57" w:rsidRDefault="00D21BD2" w:rsidP="00415CCC">
      <w:pPr>
        <w:pStyle w:val="ListParagraph"/>
        <w:numPr>
          <w:ilvl w:val="0"/>
          <w:numId w:val="3"/>
        </w:numPr>
        <w:spacing w:line="360" w:lineRule="auto"/>
        <w:jc w:val="both"/>
      </w:pPr>
      <w:r>
        <w:t xml:space="preserve">Group 1: York Hospital (YO31 8HE), Harrogate District Hospital (HG2 7SX), and Scarborough Hospital. This group was identified from the investigation on the closure of Harrogate District Hospital in 200708 and the closure of Scarborough hospital in 200910. In both reconfigurations, the York Hospital was directly affected by picking up cases from those two closed sites. </w:t>
      </w:r>
    </w:p>
    <w:p w14:paraId="11B8D8B1" w14:textId="77777777" w:rsidR="00DB5FE5" w:rsidRDefault="00D21BD2" w:rsidP="00415CCC">
      <w:pPr>
        <w:pStyle w:val="ListParagraph"/>
        <w:numPr>
          <w:ilvl w:val="0"/>
          <w:numId w:val="3"/>
        </w:numPr>
        <w:spacing w:line="360" w:lineRule="auto"/>
        <w:jc w:val="both"/>
      </w:pPr>
      <w:r>
        <w:lastRenderedPageBreak/>
        <w:t xml:space="preserve">Group 2: </w:t>
      </w:r>
      <w:r w:rsidRPr="00D21BD2">
        <w:t>Huddersfield</w:t>
      </w:r>
      <w:r>
        <w:t xml:space="preserve"> Royal Hospital</w:t>
      </w:r>
      <w:r w:rsidRPr="00D21BD2">
        <w:t xml:space="preserve"> </w:t>
      </w:r>
      <w:r>
        <w:t>(</w:t>
      </w:r>
      <w:r w:rsidRPr="00D21BD2">
        <w:t>HD3 3EA</w:t>
      </w:r>
      <w:r>
        <w:t>)</w:t>
      </w:r>
      <w:r w:rsidRPr="00D21BD2">
        <w:t>,</w:t>
      </w:r>
      <w:r>
        <w:t xml:space="preserve"> </w:t>
      </w:r>
      <w:r w:rsidRPr="00D21BD2">
        <w:t>Bradford</w:t>
      </w:r>
      <w:r>
        <w:t xml:space="preserve"> Royal Hospital</w:t>
      </w:r>
      <w:r w:rsidRPr="00D21BD2">
        <w:t xml:space="preserve"> </w:t>
      </w:r>
      <w:r>
        <w:t>(</w:t>
      </w:r>
      <w:r w:rsidRPr="00D21BD2">
        <w:t>BD9 6RJ</w:t>
      </w:r>
      <w:r>
        <w:t xml:space="preserve">), and </w:t>
      </w:r>
      <w:r w:rsidRPr="00D21BD2">
        <w:t>Airedale</w:t>
      </w:r>
      <w:r>
        <w:t xml:space="preserve"> General Hospital (</w:t>
      </w:r>
      <w:r w:rsidRPr="00D21BD2">
        <w:t>BD20 6TD</w:t>
      </w:r>
      <w:r>
        <w:t xml:space="preserve">). This group was identified from the investigation on the closure of AAA services at the Airedale General Hospital in 201112.  Both </w:t>
      </w:r>
      <w:r w:rsidRPr="00D21BD2">
        <w:t>Huddersfield</w:t>
      </w:r>
      <w:r>
        <w:t xml:space="preserve"> Royal Hospital and </w:t>
      </w:r>
      <w:r w:rsidRPr="00D21BD2">
        <w:t>Bradford</w:t>
      </w:r>
      <w:r>
        <w:t xml:space="preserve"> Royal Hospital were directly affected by this closure since they picked up cases from the closed site. </w:t>
      </w:r>
    </w:p>
    <w:p w14:paraId="7B5DAEC7" w14:textId="77777777" w:rsidR="00415CCC" w:rsidRDefault="00D21BD2" w:rsidP="00415CCC">
      <w:pPr>
        <w:pStyle w:val="ListParagraph"/>
        <w:numPr>
          <w:ilvl w:val="0"/>
          <w:numId w:val="3"/>
        </w:numPr>
        <w:spacing w:line="360" w:lineRule="auto"/>
        <w:jc w:val="both"/>
      </w:pPr>
      <w:r>
        <w:t xml:space="preserve">Group 3: </w:t>
      </w:r>
      <w:r w:rsidRPr="00D21BD2">
        <w:t>Hull</w:t>
      </w:r>
      <w:r>
        <w:t xml:space="preserve"> Royal Hospital (HU 3 2JZ) and Diana Princess of Wales Hospital in </w:t>
      </w:r>
      <w:r w:rsidRPr="00D21BD2">
        <w:t>NE Lincolnshire (DN33 2BA)</w:t>
      </w:r>
      <w:r>
        <w:t xml:space="preserve">. This group was identified from the investigation on the closure of AAA services at the </w:t>
      </w:r>
      <w:r w:rsidR="00415CCC">
        <w:t>NE Lincolnshire site</w:t>
      </w:r>
      <w:r>
        <w:t xml:space="preserve"> in 201112. </w:t>
      </w:r>
      <w:r w:rsidR="00415CCC">
        <w:t xml:space="preserve">The vascular site at Hull was directly affected by picking up cases from the closed site. </w:t>
      </w:r>
    </w:p>
    <w:p w14:paraId="5406F623" w14:textId="77777777" w:rsidR="00D21BD2" w:rsidRDefault="00415CCC" w:rsidP="00415CCC">
      <w:pPr>
        <w:pStyle w:val="ListParagraph"/>
        <w:numPr>
          <w:ilvl w:val="0"/>
          <w:numId w:val="3"/>
        </w:numPr>
        <w:spacing w:line="360" w:lineRule="auto"/>
        <w:jc w:val="both"/>
      </w:pPr>
      <w:r>
        <w:t xml:space="preserve">Group 4:  The </w:t>
      </w:r>
      <w:r w:rsidRPr="00415CCC">
        <w:t>Leeds</w:t>
      </w:r>
      <w:r>
        <w:t xml:space="preserve"> General Hospital</w:t>
      </w:r>
      <w:r w:rsidRPr="00415CCC">
        <w:t xml:space="preserve"> (LS1 3EX)</w:t>
      </w:r>
      <w:r>
        <w:t xml:space="preserve"> and the Pinderfields Hospital in Wakefield (WF1 4DG). This group was identified from the investigation on the closure of AAA services at the Wakefield site in 201314. The vascular site at Leeds was directly affected by picking up cases from the closed site.</w:t>
      </w:r>
    </w:p>
    <w:p w14:paraId="2A1D81A5" w14:textId="77777777" w:rsidR="006951BF" w:rsidRDefault="006951BF" w:rsidP="006951BF"/>
    <w:p w14:paraId="4903641E" w14:textId="77777777" w:rsidR="00415CCC" w:rsidRDefault="00750F0D" w:rsidP="00392753">
      <w:pPr>
        <w:pStyle w:val="ListParagraph"/>
        <w:numPr>
          <w:ilvl w:val="1"/>
          <w:numId w:val="7"/>
        </w:numPr>
      </w:pPr>
      <w:r>
        <w:t>Group 1: AAA services of</w:t>
      </w:r>
      <w:r w:rsidR="00415CCC">
        <w:t xml:space="preserve"> </w:t>
      </w:r>
      <w:r w:rsidR="00415CCC" w:rsidRPr="00415CCC">
        <w:t>York, Harrogate</w:t>
      </w:r>
      <w:r w:rsidR="00415CCC">
        <w:t>,</w:t>
      </w:r>
      <w:r w:rsidR="00415CCC" w:rsidRPr="00415CCC">
        <w:t xml:space="preserve"> </w:t>
      </w:r>
      <w:r w:rsidR="00415CCC">
        <w:t>and Scarborough</w:t>
      </w:r>
      <w:r>
        <w:t xml:space="preserve"> sites</w:t>
      </w:r>
    </w:p>
    <w:p w14:paraId="2224B030" w14:textId="77777777" w:rsidR="00415CCC" w:rsidRDefault="00415CCC" w:rsidP="00415CCC"/>
    <w:p w14:paraId="7487DA61" w14:textId="77777777" w:rsidR="00272D00" w:rsidRDefault="00272D00" w:rsidP="00415CCC">
      <w:r>
        <w:t>A summary of the</w:t>
      </w:r>
      <w:r w:rsidR="007240CB">
        <w:t xml:space="preserve"> in-hospital</w:t>
      </w:r>
      <w:r>
        <w:t xml:space="preserve"> outcomes for each hospital across the years is presented in</w:t>
      </w:r>
      <w:r w:rsidR="00584930">
        <w:t xml:space="preserve"> </w:t>
      </w:r>
      <w:r w:rsidR="00584930">
        <w:fldChar w:fldCharType="begin"/>
      </w:r>
      <w:r w:rsidR="00584930">
        <w:instrText xml:space="preserve"> REF _Ref8634390 \h </w:instrText>
      </w:r>
      <w:r w:rsidR="00584930">
        <w:fldChar w:fldCharType="separate"/>
      </w:r>
      <w:r w:rsidR="00584930">
        <w:t xml:space="preserve">Table </w:t>
      </w:r>
      <w:r w:rsidR="00584930">
        <w:rPr>
          <w:noProof/>
        </w:rPr>
        <w:t>8</w:t>
      </w:r>
      <w:r w:rsidR="00584930">
        <w:fldChar w:fldCharType="end"/>
      </w:r>
      <w:r w:rsidR="00584930">
        <w:t xml:space="preserve">. </w:t>
      </w:r>
    </w:p>
    <w:p w14:paraId="1AD1BD3E" w14:textId="77777777" w:rsidR="00272D00" w:rsidRDefault="00272D00" w:rsidP="00272D00">
      <w:pPr>
        <w:pStyle w:val="Caption"/>
      </w:pPr>
      <w:bookmarkStart w:id="10" w:name="_Ref8634390"/>
      <w:r>
        <w:t xml:space="preserve">Table </w:t>
      </w:r>
      <w:r w:rsidR="005C3A38">
        <w:rPr>
          <w:noProof/>
        </w:rPr>
        <w:fldChar w:fldCharType="begin"/>
      </w:r>
      <w:r w:rsidR="005C3A38">
        <w:rPr>
          <w:noProof/>
        </w:rPr>
        <w:instrText xml:space="preserve"> SEQ Table \* ARABIC </w:instrText>
      </w:r>
      <w:r w:rsidR="005C3A38">
        <w:rPr>
          <w:noProof/>
        </w:rPr>
        <w:fldChar w:fldCharType="separate"/>
      </w:r>
      <w:r w:rsidR="005F4083">
        <w:rPr>
          <w:noProof/>
        </w:rPr>
        <w:t>8</w:t>
      </w:r>
      <w:r w:rsidR="005C3A38">
        <w:rPr>
          <w:noProof/>
        </w:rPr>
        <w:fldChar w:fldCharType="end"/>
      </w:r>
      <w:bookmarkEnd w:id="10"/>
      <w:r>
        <w:t>: Summary of outcome</w:t>
      </w:r>
      <w:r w:rsidR="00750F0D">
        <w:t>s for AAA services of</w:t>
      </w:r>
      <w:r>
        <w:t xml:space="preserve"> York, Harrogate and Scarborough</w:t>
      </w:r>
      <w:r w:rsidR="00750F0D">
        <w:t xml:space="preserve"> sites</w:t>
      </w:r>
      <w:r>
        <w:t xml:space="preserve"> </w:t>
      </w:r>
    </w:p>
    <w:p w14:paraId="7B55ACB1" w14:textId="77777777" w:rsidR="00415CCC" w:rsidRDefault="00272D00" w:rsidP="00415CCC">
      <w:r w:rsidRPr="00272D00">
        <w:rPr>
          <w:noProof/>
          <w:lang w:eastAsia="zh-CN"/>
        </w:rPr>
        <w:drawing>
          <wp:inline distT="0" distB="0" distL="0" distR="0" wp14:anchorId="5807AD42" wp14:editId="398EB443">
            <wp:extent cx="5648325" cy="2867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48325" cy="2867025"/>
                    </a:xfrm>
                    <a:prstGeom prst="rect">
                      <a:avLst/>
                    </a:prstGeom>
                    <a:noFill/>
                    <a:ln>
                      <a:noFill/>
                    </a:ln>
                  </pic:spPr>
                </pic:pic>
              </a:graphicData>
            </a:graphic>
          </wp:inline>
        </w:drawing>
      </w:r>
    </w:p>
    <w:p w14:paraId="20CEF2D8" w14:textId="77777777" w:rsidR="00415CCC" w:rsidRDefault="00415CCC" w:rsidP="00415CCC"/>
    <w:p w14:paraId="3E471BB7" w14:textId="77777777" w:rsidR="00415CCC" w:rsidRDefault="00415CCC" w:rsidP="00415CCC"/>
    <w:p w14:paraId="48FF0DC0" w14:textId="77777777" w:rsidR="00CB680F" w:rsidRDefault="00272D00" w:rsidP="00415CCC">
      <w:r w:rsidRPr="00272D00">
        <w:rPr>
          <w:noProof/>
          <w:lang w:eastAsia="zh-CN"/>
        </w:rPr>
        <w:lastRenderedPageBreak/>
        <w:drawing>
          <wp:inline distT="0" distB="0" distL="0" distR="0" wp14:anchorId="32A64EC6" wp14:editId="3128D301">
            <wp:extent cx="5648325" cy="2867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48325" cy="2867025"/>
                    </a:xfrm>
                    <a:prstGeom prst="rect">
                      <a:avLst/>
                    </a:prstGeom>
                    <a:noFill/>
                    <a:ln>
                      <a:noFill/>
                    </a:ln>
                  </pic:spPr>
                </pic:pic>
              </a:graphicData>
            </a:graphic>
          </wp:inline>
        </w:drawing>
      </w:r>
    </w:p>
    <w:p w14:paraId="7BBF6985" w14:textId="77777777" w:rsidR="007240CB" w:rsidRDefault="007240CB" w:rsidP="00415CCC"/>
    <w:p w14:paraId="79400D4C" w14:textId="77777777" w:rsidR="007240CB" w:rsidRDefault="007240CB" w:rsidP="004C390F">
      <w:pPr>
        <w:spacing w:line="360" w:lineRule="auto"/>
        <w:jc w:val="both"/>
      </w:pPr>
      <w:r>
        <w:t xml:space="preserve">When the AAA service at the Harrogate site HG2 7SX was closed, its patients started going to the York site YO31 8HE for AAA repairs from 200708. The elective in-hospital mortality and averaged length of stay for HG2 7SX in 200607 were 20% and 14 days respectively; and for YO31 8HE were 16.2% and 14 days respectively. There was only one emergency case observed in 200607 for HG2 7SX. After the closure of the Harrogate site, its immediate effect on in-hospital outcomes can be seen with the outcomes of YO31 8HE: 8.8% elective in-hospital mortality and 10 days for averaged elective length of stay. </w:t>
      </w:r>
      <w:proofErr w:type="gramStart"/>
      <w:r>
        <w:t>Similarly</w:t>
      </w:r>
      <w:proofErr w:type="gramEnd"/>
      <w:r>
        <w:t xml:space="preserve"> we can see the effects of closing the Scarborough site YO12 6QL in 200910 on in-hospital outcomes by comparing the summary information of YO12 6QL and YO31 8HE before 200910 and after 200910</w:t>
      </w:r>
      <w:r w:rsidR="004C390F">
        <w:t xml:space="preserve">. </w:t>
      </w:r>
    </w:p>
    <w:p w14:paraId="294B11B9" w14:textId="77777777" w:rsidR="00392753" w:rsidRDefault="00392753" w:rsidP="00E61BC2">
      <w:pPr>
        <w:spacing w:after="0"/>
      </w:pPr>
    </w:p>
    <w:p w14:paraId="3FF3BC73" w14:textId="77777777" w:rsidR="00E61BC2" w:rsidRDefault="004C390F" w:rsidP="00E61BC2">
      <w:pPr>
        <w:spacing w:line="360" w:lineRule="auto"/>
        <w:jc w:val="both"/>
      </w:pPr>
      <w:r>
        <w:t>To investigate</w:t>
      </w:r>
      <w:r w:rsidR="007240CB">
        <w:t xml:space="preserve"> the impacts of service configuration on long-term survival, </w:t>
      </w:r>
      <w:r w:rsidR="00E61BC2">
        <w:t>survival analysis was</w:t>
      </w:r>
      <w:r>
        <w:t xml:space="preserve"> </w:t>
      </w:r>
      <w:r w:rsidR="00E61BC2">
        <w:t>performed.  Figures 2-4 present the results of these survival analysis of HES data.</w:t>
      </w:r>
      <w:r w:rsidR="00E61BC2" w:rsidRPr="00E61BC2">
        <w:t xml:space="preserve"> </w:t>
      </w:r>
      <w:r w:rsidR="00E61BC2">
        <w:t xml:space="preserve">However, it should be noted that there are many factors involved in explaining the differences in the outcomes between centres and between different years. First, there are differences in the characteristics of the </w:t>
      </w:r>
      <w:proofErr w:type="gramStart"/>
      <w:r w:rsidR="00E61BC2">
        <w:t>patients</w:t>
      </w:r>
      <w:proofErr w:type="gramEnd"/>
      <w:r w:rsidR="00E61BC2">
        <w:t xml:space="preserve"> cohorts between different centres and different years. Second, there are differences in the characteristics of different centres where patients were treated. Even with the same centre, its characteristics change moving from one year to another due to changes in practice, staff, etc. Third, there are also other changes in the region that could influence outcomes besides service reconfiguration (i.e. the implementation of a screening programme, public health activities, etc.). Thus, we cannot attribute the observed change in outcomes to service reconfiguration alone.  </w:t>
      </w:r>
    </w:p>
    <w:p w14:paraId="0491643E" w14:textId="77777777" w:rsidR="007240CB" w:rsidRDefault="007240CB" w:rsidP="007240CB">
      <w:pPr>
        <w:pStyle w:val="Caption"/>
      </w:pPr>
      <w:r>
        <w:lastRenderedPageBreak/>
        <w:t xml:space="preserve">Figure </w:t>
      </w:r>
      <w:r w:rsidR="005C3A38">
        <w:rPr>
          <w:noProof/>
        </w:rPr>
        <w:fldChar w:fldCharType="begin"/>
      </w:r>
      <w:r w:rsidR="005C3A38">
        <w:rPr>
          <w:noProof/>
        </w:rPr>
        <w:instrText xml:space="preserve"> SEQ Figure \* ARABIC </w:instrText>
      </w:r>
      <w:r w:rsidR="005C3A38">
        <w:rPr>
          <w:noProof/>
        </w:rPr>
        <w:fldChar w:fldCharType="separate"/>
      </w:r>
      <w:r>
        <w:rPr>
          <w:noProof/>
        </w:rPr>
        <w:t>2</w:t>
      </w:r>
      <w:r w:rsidR="005C3A38">
        <w:rPr>
          <w:noProof/>
        </w:rPr>
        <w:fldChar w:fldCharType="end"/>
      </w:r>
      <w:r>
        <w:t>: 200607 cohort of post-discharge survivors</w:t>
      </w:r>
    </w:p>
    <w:p w14:paraId="58BF578B" w14:textId="77777777" w:rsidR="007240CB" w:rsidRDefault="007240CB" w:rsidP="00415CCC">
      <w:r w:rsidRPr="007240CB">
        <w:rPr>
          <w:noProof/>
          <w:lang w:eastAsia="zh-CN"/>
        </w:rPr>
        <w:drawing>
          <wp:inline distT="0" distB="0" distL="0" distR="0" wp14:anchorId="06339560" wp14:editId="03F62659">
            <wp:extent cx="5731510" cy="356616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7"/>
                    <a:stretch>
                      <a:fillRect/>
                    </a:stretch>
                  </pic:blipFill>
                  <pic:spPr>
                    <a:xfrm>
                      <a:off x="0" y="0"/>
                      <a:ext cx="5731510" cy="3566160"/>
                    </a:xfrm>
                    <a:prstGeom prst="rect">
                      <a:avLst/>
                    </a:prstGeom>
                  </pic:spPr>
                </pic:pic>
              </a:graphicData>
            </a:graphic>
          </wp:inline>
        </w:drawing>
      </w:r>
    </w:p>
    <w:p w14:paraId="3F8E521A" w14:textId="77777777" w:rsidR="007240CB" w:rsidRDefault="007240CB" w:rsidP="00415CCC"/>
    <w:p w14:paraId="51F08AC8" w14:textId="77777777" w:rsidR="007240CB" w:rsidRDefault="007240CB" w:rsidP="00415CCC"/>
    <w:p w14:paraId="1409049C" w14:textId="77777777" w:rsidR="007240CB" w:rsidRDefault="007240CB" w:rsidP="00415CCC"/>
    <w:p w14:paraId="39028201" w14:textId="77777777" w:rsidR="007240CB" w:rsidRDefault="007240CB" w:rsidP="007240CB">
      <w:pPr>
        <w:pStyle w:val="Caption"/>
      </w:pPr>
      <w:r>
        <w:t xml:space="preserve">Figure </w:t>
      </w:r>
      <w:r w:rsidR="005C3A38">
        <w:rPr>
          <w:noProof/>
        </w:rPr>
        <w:fldChar w:fldCharType="begin"/>
      </w:r>
      <w:r w:rsidR="005C3A38">
        <w:rPr>
          <w:noProof/>
        </w:rPr>
        <w:instrText xml:space="preserve"> SEQ Figure \* ARABIC </w:instrText>
      </w:r>
      <w:r w:rsidR="005C3A38">
        <w:rPr>
          <w:noProof/>
        </w:rPr>
        <w:fldChar w:fldCharType="separate"/>
      </w:r>
      <w:r>
        <w:rPr>
          <w:noProof/>
        </w:rPr>
        <w:t>3</w:t>
      </w:r>
      <w:r w:rsidR="005C3A38">
        <w:rPr>
          <w:noProof/>
        </w:rPr>
        <w:fldChar w:fldCharType="end"/>
      </w:r>
      <w:r>
        <w:t>: cohort 200708 to 200910</w:t>
      </w:r>
    </w:p>
    <w:p w14:paraId="30423615" w14:textId="77777777" w:rsidR="007240CB" w:rsidRDefault="007240CB" w:rsidP="00415CCC">
      <w:r w:rsidRPr="007240CB">
        <w:rPr>
          <w:noProof/>
          <w:lang w:eastAsia="zh-CN"/>
        </w:rPr>
        <w:drawing>
          <wp:inline distT="0" distB="0" distL="0" distR="0" wp14:anchorId="1529C6BA" wp14:editId="7EB98F5B">
            <wp:extent cx="5731510" cy="3566160"/>
            <wp:effectExtent l="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8"/>
                    <a:stretch>
                      <a:fillRect/>
                    </a:stretch>
                  </pic:blipFill>
                  <pic:spPr>
                    <a:xfrm>
                      <a:off x="0" y="0"/>
                      <a:ext cx="5731510" cy="3566160"/>
                    </a:xfrm>
                    <a:prstGeom prst="rect">
                      <a:avLst/>
                    </a:prstGeom>
                  </pic:spPr>
                </pic:pic>
              </a:graphicData>
            </a:graphic>
          </wp:inline>
        </w:drawing>
      </w:r>
    </w:p>
    <w:p w14:paraId="772195AC" w14:textId="77777777" w:rsidR="007240CB" w:rsidRDefault="007240CB" w:rsidP="007240CB">
      <w:pPr>
        <w:pStyle w:val="Caption"/>
      </w:pPr>
      <w:r>
        <w:lastRenderedPageBreak/>
        <w:t xml:space="preserve">Figure </w:t>
      </w:r>
      <w:r w:rsidR="005C3A38">
        <w:rPr>
          <w:noProof/>
        </w:rPr>
        <w:fldChar w:fldCharType="begin"/>
      </w:r>
      <w:r w:rsidR="005C3A38">
        <w:rPr>
          <w:noProof/>
        </w:rPr>
        <w:instrText xml:space="preserve"> SEQ Figure \* ARABIC </w:instrText>
      </w:r>
      <w:r w:rsidR="005C3A38">
        <w:rPr>
          <w:noProof/>
        </w:rPr>
        <w:fldChar w:fldCharType="separate"/>
      </w:r>
      <w:r>
        <w:rPr>
          <w:noProof/>
        </w:rPr>
        <w:t>4</w:t>
      </w:r>
      <w:r w:rsidR="005C3A38">
        <w:rPr>
          <w:noProof/>
        </w:rPr>
        <w:fldChar w:fldCharType="end"/>
      </w:r>
      <w:r>
        <w:t xml:space="preserve">: York site by </w:t>
      </w:r>
      <w:proofErr w:type="spellStart"/>
      <w:r>
        <w:t>yeargroup</w:t>
      </w:r>
      <w:proofErr w:type="spellEnd"/>
    </w:p>
    <w:p w14:paraId="5E77E3B7" w14:textId="77777777" w:rsidR="007240CB" w:rsidRDefault="007240CB" w:rsidP="00415CCC">
      <w:r w:rsidRPr="007240CB">
        <w:rPr>
          <w:noProof/>
          <w:lang w:eastAsia="zh-CN"/>
        </w:rPr>
        <w:drawing>
          <wp:inline distT="0" distB="0" distL="0" distR="0" wp14:anchorId="2FBD8255" wp14:editId="143DBC7E">
            <wp:extent cx="5731510" cy="3603625"/>
            <wp:effectExtent l="0" t="0" r="254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9"/>
                    <a:stretch>
                      <a:fillRect/>
                    </a:stretch>
                  </pic:blipFill>
                  <pic:spPr>
                    <a:xfrm>
                      <a:off x="0" y="0"/>
                      <a:ext cx="5731510" cy="3603625"/>
                    </a:xfrm>
                    <a:prstGeom prst="rect">
                      <a:avLst/>
                    </a:prstGeom>
                  </pic:spPr>
                </pic:pic>
              </a:graphicData>
            </a:graphic>
          </wp:inline>
        </w:drawing>
      </w:r>
    </w:p>
    <w:p w14:paraId="3867C39D" w14:textId="77777777" w:rsidR="007240CB" w:rsidRDefault="007240CB" w:rsidP="00E61BC2">
      <w:pPr>
        <w:spacing w:line="360" w:lineRule="auto"/>
        <w:jc w:val="both"/>
      </w:pPr>
      <w:proofErr w:type="spellStart"/>
      <w:r>
        <w:t>Yeargroup</w:t>
      </w:r>
      <w:proofErr w:type="spellEnd"/>
      <w:r>
        <w:t xml:space="preserve"> – bloc</w:t>
      </w:r>
      <w:r w:rsidR="00E61BC2">
        <w:t xml:space="preserve">k 1: 200607; </w:t>
      </w:r>
      <w:proofErr w:type="spellStart"/>
      <w:r>
        <w:t>Yeargroup</w:t>
      </w:r>
      <w:proofErr w:type="spellEnd"/>
      <w:r>
        <w:t xml:space="preserve"> – block 2: 200708 to </w:t>
      </w:r>
      <w:proofErr w:type="gramStart"/>
      <w:r>
        <w:t xml:space="preserve">200910 </w:t>
      </w:r>
      <w:r w:rsidR="00E61BC2">
        <w:t>;</w:t>
      </w:r>
      <w:proofErr w:type="gramEnd"/>
      <w:r w:rsidR="00E61BC2">
        <w:t xml:space="preserve"> </w:t>
      </w:r>
      <w:proofErr w:type="spellStart"/>
      <w:r>
        <w:t>Yeargroup</w:t>
      </w:r>
      <w:proofErr w:type="spellEnd"/>
      <w:r>
        <w:t xml:space="preserve"> – block 3: 201011 to 201718 </w:t>
      </w:r>
    </w:p>
    <w:p w14:paraId="7FC83998" w14:textId="77777777" w:rsidR="00C032D6" w:rsidRDefault="00C032D6" w:rsidP="00C032D6">
      <w:pPr>
        <w:spacing w:line="360" w:lineRule="auto"/>
        <w:jc w:val="both"/>
      </w:pPr>
    </w:p>
    <w:p w14:paraId="3F567B13" w14:textId="77777777" w:rsidR="00415CCC" w:rsidRDefault="00750F0D" w:rsidP="00392753">
      <w:pPr>
        <w:pStyle w:val="ListParagraph"/>
        <w:numPr>
          <w:ilvl w:val="1"/>
          <w:numId w:val="7"/>
        </w:numPr>
      </w:pPr>
      <w:r>
        <w:t>Group 2: AAA services of</w:t>
      </w:r>
      <w:r w:rsidR="00415CCC">
        <w:t xml:space="preserve"> Airedale, Huddersfield and</w:t>
      </w:r>
      <w:r w:rsidR="00415CCC" w:rsidRPr="00415CCC">
        <w:t xml:space="preserve"> Bradford</w:t>
      </w:r>
      <w:r>
        <w:t xml:space="preserve"> sites</w:t>
      </w:r>
    </w:p>
    <w:p w14:paraId="73BC4F4E" w14:textId="77777777" w:rsidR="00A33FA4" w:rsidRDefault="00A33FA4" w:rsidP="00A33FA4">
      <w:pPr>
        <w:ind w:left="360"/>
      </w:pPr>
    </w:p>
    <w:p w14:paraId="1A3B6783" w14:textId="77777777" w:rsidR="00A33FA4" w:rsidRDefault="00176906" w:rsidP="00176906">
      <w:r>
        <w:t>A summary of the outcomes for each hospital across the years is presented</w:t>
      </w:r>
      <w:r w:rsidR="00736F80">
        <w:t xml:space="preserve"> in </w:t>
      </w:r>
      <w:r w:rsidR="00736F80">
        <w:fldChar w:fldCharType="begin"/>
      </w:r>
      <w:r w:rsidR="00736F80">
        <w:instrText xml:space="preserve"> REF _Ref8641456 \h </w:instrText>
      </w:r>
      <w:r w:rsidR="00736F80">
        <w:fldChar w:fldCharType="separate"/>
      </w:r>
      <w:r w:rsidR="00736F80">
        <w:t xml:space="preserve">Table </w:t>
      </w:r>
      <w:r w:rsidR="00736F80">
        <w:rPr>
          <w:noProof/>
        </w:rPr>
        <w:t>9</w:t>
      </w:r>
      <w:r w:rsidR="00736F80">
        <w:fldChar w:fldCharType="end"/>
      </w:r>
    </w:p>
    <w:p w14:paraId="73FECFF3" w14:textId="77777777" w:rsidR="007160CB" w:rsidRDefault="00736F80" w:rsidP="007160CB">
      <w:pPr>
        <w:pStyle w:val="Caption"/>
      </w:pPr>
      <w:bookmarkStart w:id="11" w:name="_Ref8641456"/>
      <w:r>
        <w:t xml:space="preserve">Table </w:t>
      </w:r>
      <w:r w:rsidR="005C3A38">
        <w:rPr>
          <w:noProof/>
        </w:rPr>
        <w:fldChar w:fldCharType="begin"/>
      </w:r>
      <w:r w:rsidR="005C3A38">
        <w:rPr>
          <w:noProof/>
        </w:rPr>
        <w:instrText xml:space="preserve"> SEQ Table \* ARABIC </w:instrText>
      </w:r>
      <w:r w:rsidR="005C3A38">
        <w:rPr>
          <w:noProof/>
        </w:rPr>
        <w:fldChar w:fldCharType="separate"/>
      </w:r>
      <w:r w:rsidR="005F4083">
        <w:rPr>
          <w:noProof/>
        </w:rPr>
        <w:t>9</w:t>
      </w:r>
      <w:r w:rsidR="005C3A38">
        <w:rPr>
          <w:noProof/>
        </w:rPr>
        <w:fldChar w:fldCharType="end"/>
      </w:r>
      <w:bookmarkEnd w:id="11"/>
      <w:r>
        <w:t xml:space="preserve">: </w:t>
      </w:r>
      <w:r w:rsidR="007160CB">
        <w:t>Summary of outcome</w:t>
      </w:r>
      <w:r w:rsidR="00750F0D">
        <w:t>s for AAA services of</w:t>
      </w:r>
      <w:r w:rsidR="007160CB">
        <w:t xml:space="preserve"> Airedale, Huddersfield and Braford </w:t>
      </w:r>
      <w:r w:rsidR="00750F0D">
        <w:t>sites</w:t>
      </w:r>
    </w:p>
    <w:p w14:paraId="117C826F" w14:textId="77777777" w:rsidR="00736F80" w:rsidRDefault="007160CB" w:rsidP="007160CB">
      <w:pPr>
        <w:pStyle w:val="Caption"/>
      </w:pPr>
      <w:r w:rsidRPr="007160CB">
        <w:rPr>
          <w:noProof/>
          <w:lang w:eastAsia="zh-CN"/>
        </w:rPr>
        <w:drawing>
          <wp:inline distT="0" distB="0" distL="0" distR="0" wp14:anchorId="1F74D770" wp14:editId="607996DD">
            <wp:extent cx="5731510" cy="2650053"/>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2650053"/>
                    </a:xfrm>
                    <a:prstGeom prst="rect">
                      <a:avLst/>
                    </a:prstGeom>
                    <a:noFill/>
                    <a:ln>
                      <a:noFill/>
                    </a:ln>
                  </pic:spPr>
                </pic:pic>
              </a:graphicData>
            </a:graphic>
          </wp:inline>
        </w:drawing>
      </w:r>
    </w:p>
    <w:p w14:paraId="70A49830" w14:textId="77777777" w:rsidR="00736F80" w:rsidRDefault="007160CB" w:rsidP="00736F80">
      <w:r w:rsidRPr="007160CB">
        <w:rPr>
          <w:noProof/>
          <w:lang w:eastAsia="zh-CN"/>
        </w:rPr>
        <w:lastRenderedPageBreak/>
        <w:drawing>
          <wp:inline distT="0" distB="0" distL="0" distR="0" wp14:anchorId="339D7873" wp14:editId="3B22974A">
            <wp:extent cx="5731510" cy="2650053"/>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2650053"/>
                    </a:xfrm>
                    <a:prstGeom prst="rect">
                      <a:avLst/>
                    </a:prstGeom>
                    <a:noFill/>
                    <a:ln>
                      <a:noFill/>
                    </a:ln>
                  </pic:spPr>
                </pic:pic>
              </a:graphicData>
            </a:graphic>
          </wp:inline>
        </w:drawing>
      </w:r>
    </w:p>
    <w:p w14:paraId="756F6EA8" w14:textId="77777777" w:rsidR="007160CB" w:rsidRDefault="007160CB" w:rsidP="007160CB"/>
    <w:p w14:paraId="4EF521BC" w14:textId="77777777" w:rsidR="00415CCC" w:rsidRDefault="00750F0D" w:rsidP="00392753">
      <w:pPr>
        <w:pStyle w:val="ListParagraph"/>
        <w:numPr>
          <w:ilvl w:val="1"/>
          <w:numId w:val="7"/>
        </w:numPr>
      </w:pPr>
      <w:r>
        <w:t>Group 3: AAA services of</w:t>
      </w:r>
      <w:r w:rsidR="00415CCC">
        <w:t xml:space="preserve"> Hull and</w:t>
      </w:r>
      <w:r w:rsidR="00415CCC" w:rsidRPr="00415CCC">
        <w:t xml:space="preserve"> NE Lincolnshire</w:t>
      </w:r>
      <w:r>
        <w:t xml:space="preserve"> sites</w:t>
      </w:r>
    </w:p>
    <w:p w14:paraId="2D1C0922" w14:textId="77777777" w:rsidR="00A33FA4" w:rsidRDefault="00A33FA4" w:rsidP="00A33FA4">
      <w:pPr>
        <w:ind w:left="360"/>
      </w:pPr>
    </w:p>
    <w:p w14:paraId="27971D0B" w14:textId="77777777" w:rsidR="007160CB" w:rsidRDefault="00750F0D" w:rsidP="00750F0D">
      <w:pPr>
        <w:ind w:left="360"/>
      </w:pPr>
      <w:r>
        <w:t xml:space="preserve">A summary of the outcomes for each hospital across the years is presented in </w:t>
      </w:r>
      <w:r>
        <w:fldChar w:fldCharType="begin"/>
      </w:r>
      <w:r>
        <w:instrText xml:space="preserve"> REF _Ref8643546 \h </w:instrText>
      </w:r>
      <w:r>
        <w:fldChar w:fldCharType="separate"/>
      </w:r>
      <w:r>
        <w:t xml:space="preserve">Table </w:t>
      </w:r>
      <w:r>
        <w:rPr>
          <w:noProof/>
        </w:rPr>
        <w:t>10</w:t>
      </w:r>
      <w:r>
        <w:fldChar w:fldCharType="end"/>
      </w:r>
    </w:p>
    <w:p w14:paraId="6B41F19B" w14:textId="77777777" w:rsidR="00750F0D" w:rsidRDefault="00750F0D" w:rsidP="00A33FA4">
      <w:pPr>
        <w:ind w:left="360"/>
      </w:pPr>
    </w:p>
    <w:p w14:paraId="5BDEB381" w14:textId="77777777" w:rsidR="00750F0D" w:rsidRDefault="00750F0D" w:rsidP="00750F0D">
      <w:pPr>
        <w:pStyle w:val="Caption"/>
      </w:pPr>
      <w:bookmarkStart w:id="12" w:name="_Ref8643546"/>
      <w:r>
        <w:t xml:space="preserve">Table </w:t>
      </w:r>
      <w:r w:rsidR="005C3A38">
        <w:rPr>
          <w:noProof/>
        </w:rPr>
        <w:fldChar w:fldCharType="begin"/>
      </w:r>
      <w:r w:rsidR="005C3A38">
        <w:rPr>
          <w:noProof/>
        </w:rPr>
        <w:instrText xml:space="preserve"> SEQ Table \* ARABIC </w:instrText>
      </w:r>
      <w:r w:rsidR="005C3A38">
        <w:rPr>
          <w:noProof/>
        </w:rPr>
        <w:fldChar w:fldCharType="separate"/>
      </w:r>
      <w:r w:rsidR="005F4083">
        <w:rPr>
          <w:noProof/>
        </w:rPr>
        <w:t>10</w:t>
      </w:r>
      <w:r w:rsidR="005C3A38">
        <w:rPr>
          <w:noProof/>
        </w:rPr>
        <w:fldChar w:fldCharType="end"/>
      </w:r>
      <w:bookmarkEnd w:id="12"/>
      <w:r>
        <w:t>:</w:t>
      </w:r>
      <w:r w:rsidRPr="00750F0D">
        <w:t xml:space="preserve"> </w:t>
      </w:r>
      <w:r>
        <w:t xml:space="preserve">Summary of outcomes for AAA services of Hull and NE Lincolnshire sites </w:t>
      </w:r>
    </w:p>
    <w:p w14:paraId="099940CC" w14:textId="77777777" w:rsidR="00A33FA4" w:rsidRDefault="007160CB" w:rsidP="00A33FA4">
      <w:pPr>
        <w:ind w:left="360"/>
      </w:pPr>
      <w:r w:rsidRPr="007160CB">
        <w:rPr>
          <w:noProof/>
          <w:lang w:eastAsia="zh-CN"/>
        </w:rPr>
        <w:drawing>
          <wp:inline distT="0" distB="0" distL="0" distR="0" wp14:anchorId="3912BE9C" wp14:editId="1F274083">
            <wp:extent cx="4276725" cy="2867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76725" cy="2867025"/>
                    </a:xfrm>
                    <a:prstGeom prst="rect">
                      <a:avLst/>
                    </a:prstGeom>
                    <a:noFill/>
                    <a:ln>
                      <a:noFill/>
                    </a:ln>
                  </pic:spPr>
                </pic:pic>
              </a:graphicData>
            </a:graphic>
          </wp:inline>
        </w:drawing>
      </w:r>
    </w:p>
    <w:p w14:paraId="575778EC" w14:textId="77777777" w:rsidR="007160CB" w:rsidRDefault="007160CB" w:rsidP="00A33FA4">
      <w:pPr>
        <w:ind w:left="360"/>
      </w:pPr>
    </w:p>
    <w:p w14:paraId="51C6D305" w14:textId="77777777" w:rsidR="007160CB" w:rsidRDefault="007160CB" w:rsidP="00A33FA4">
      <w:pPr>
        <w:ind w:left="360"/>
      </w:pPr>
      <w:r w:rsidRPr="007160CB">
        <w:rPr>
          <w:noProof/>
          <w:lang w:eastAsia="zh-CN"/>
        </w:rPr>
        <w:lastRenderedPageBreak/>
        <w:drawing>
          <wp:inline distT="0" distB="0" distL="0" distR="0" wp14:anchorId="3FE2B343" wp14:editId="7703EABA">
            <wp:extent cx="4276725" cy="28670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76725" cy="2867025"/>
                    </a:xfrm>
                    <a:prstGeom prst="rect">
                      <a:avLst/>
                    </a:prstGeom>
                    <a:noFill/>
                    <a:ln>
                      <a:noFill/>
                    </a:ln>
                  </pic:spPr>
                </pic:pic>
              </a:graphicData>
            </a:graphic>
          </wp:inline>
        </w:drawing>
      </w:r>
    </w:p>
    <w:p w14:paraId="539A4620" w14:textId="77777777" w:rsidR="00A33FA4" w:rsidRDefault="00A33FA4" w:rsidP="00A33FA4">
      <w:pPr>
        <w:ind w:left="360"/>
      </w:pPr>
    </w:p>
    <w:p w14:paraId="60811543" w14:textId="77777777" w:rsidR="00415CCC" w:rsidRPr="00415CCC" w:rsidRDefault="00415CCC" w:rsidP="00392753">
      <w:pPr>
        <w:pStyle w:val="ListParagraph"/>
        <w:numPr>
          <w:ilvl w:val="1"/>
          <w:numId w:val="7"/>
        </w:numPr>
      </w:pPr>
      <w:r>
        <w:t>Group 4: AAA services in Wakefield and</w:t>
      </w:r>
      <w:r w:rsidRPr="00415CCC">
        <w:t xml:space="preserve"> Leeds</w:t>
      </w:r>
    </w:p>
    <w:p w14:paraId="53198ACC" w14:textId="77777777" w:rsidR="00FA7117" w:rsidRDefault="00FA7117" w:rsidP="006951BF"/>
    <w:p w14:paraId="15EE9DB0" w14:textId="77777777" w:rsidR="00FA7117" w:rsidRDefault="00FA7117" w:rsidP="00FA7117">
      <w:r>
        <w:t xml:space="preserve">A summary of the outcomes for each hospital across the years is presented in </w:t>
      </w:r>
      <w:r>
        <w:fldChar w:fldCharType="begin"/>
      </w:r>
      <w:r>
        <w:instrText xml:space="preserve"> REF _Ref8648395 \h </w:instrText>
      </w:r>
      <w:r>
        <w:fldChar w:fldCharType="separate"/>
      </w:r>
      <w:r>
        <w:t xml:space="preserve">Table </w:t>
      </w:r>
      <w:r>
        <w:rPr>
          <w:noProof/>
        </w:rPr>
        <w:t>11</w:t>
      </w:r>
      <w:r>
        <w:fldChar w:fldCharType="end"/>
      </w:r>
      <w:r>
        <w:t>.</w:t>
      </w:r>
    </w:p>
    <w:p w14:paraId="7E2419CA" w14:textId="77777777" w:rsidR="00FA7117" w:rsidRDefault="00FA7117" w:rsidP="00FA7117">
      <w:pPr>
        <w:pStyle w:val="Caption"/>
      </w:pPr>
      <w:bookmarkStart w:id="13" w:name="_Ref8648395"/>
      <w:r>
        <w:t xml:space="preserve">Table </w:t>
      </w:r>
      <w:r w:rsidR="005C3A38">
        <w:rPr>
          <w:noProof/>
        </w:rPr>
        <w:fldChar w:fldCharType="begin"/>
      </w:r>
      <w:r w:rsidR="005C3A38">
        <w:rPr>
          <w:noProof/>
        </w:rPr>
        <w:instrText xml:space="preserve"> SEQ Table \* ARABIC </w:instrText>
      </w:r>
      <w:r w:rsidR="005C3A38">
        <w:rPr>
          <w:noProof/>
        </w:rPr>
        <w:fldChar w:fldCharType="separate"/>
      </w:r>
      <w:r w:rsidR="005F4083">
        <w:rPr>
          <w:noProof/>
        </w:rPr>
        <w:t>11</w:t>
      </w:r>
      <w:r w:rsidR="005C3A38">
        <w:rPr>
          <w:noProof/>
        </w:rPr>
        <w:fldChar w:fldCharType="end"/>
      </w:r>
      <w:bookmarkEnd w:id="13"/>
      <w:r>
        <w:t>: Summary of outcomes for AAA services of Leeds and Wakefield sites</w:t>
      </w:r>
    </w:p>
    <w:p w14:paraId="49FE44B5" w14:textId="77777777" w:rsidR="006951BF" w:rsidRDefault="0047755B" w:rsidP="006951BF">
      <w:r w:rsidRPr="0047755B">
        <w:rPr>
          <w:noProof/>
          <w:lang w:eastAsia="zh-CN"/>
        </w:rPr>
        <w:drawing>
          <wp:inline distT="0" distB="0" distL="0" distR="0" wp14:anchorId="6C50D628" wp14:editId="7434AEA5">
            <wp:extent cx="4276725" cy="28670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76725" cy="2867025"/>
                    </a:xfrm>
                    <a:prstGeom prst="rect">
                      <a:avLst/>
                    </a:prstGeom>
                    <a:noFill/>
                    <a:ln>
                      <a:noFill/>
                    </a:ln>
                  </pic:spPr>
                </pic:pic>
              </a:graphicData>
            </a:graphic>
          </wp:inline>
        </w:drawing>
      </w:r>
    </w:p>
    <w:p w14:paraId="3A9EA401" w14:textId="77777777" w:rsidR="006951BF" w:rsidRDefault="0047755B" w:rsidP="006951BF">
      <w:r w:rsidRPr="0047755B">
        <w:rPr>
          <w:noProof/>
          <w:lang w:eastAsia="zh-CN"/>
        </w:rPr>
        <w:lastRenderedPageBreak/>
        <w:drawing>
          <wp:inline distT="0" distB="0" distL="0" distR="0" wp14:anchorId="241CE25C" wp14:editId="0324A4FD">
            <wp:extent cx="4276725" cy="2867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76725" cy="2867025"/>
                    </a:xfrm>
                    <a:prstGeom prst="rect">
                      <a:avLst/>
                    </a:prstGeom>
                    <a:noFill/>
                    <a:ln>
                      <a:noFill/>
                    </a:ln>
                  </pic:spPr>
                </pic:pic>
              </a:graphicData>
            </a:graphic>
          </wp:inline>
        </w:drawing>
      </w:r>
    </w:p>
    <w:p w14:paraId="73068271" w14:textId="77777777" w:rsidR="006951BF" w:rsidRDefault="006951BF" w:rsidP="006951BF"/>
    <w:p w14:paraId="5BC71F36" w14:textId="77777777" w:rsidR="0071786E" w:rsidRDefault="00E61BC2" w:rsidP="00E61BC2">
      <w:pPr>
        <w:pStyle w:val="ListParagraph"/>
        <w:numPr>
          <w:ilvl w:val="0"/>
          <w:numId w:val="7"/>
        </w:numPr>
      </w:pPr>
      <w:r>
        <w:t xml:space="preserve">IMPACT OF RECONFIGURATION ON PATIENT TRAVEL </w:t>
      </w:r>
    </w:p>
    <w:p w14:paraId="010545B2" w14:textId="77777777" w:rsidR="00FA7117" w:rsidRDefault="00FA7117" w:rsidP="00A208D4">
      <w:pPr>
        <w:spacing w:after="0" w:line="240" w:lineRule="auto"/>
      </w:pPr>
    </w:p>
    <w:p w14:paraId="424F606E" w14:textId="77777777" w:rsidR="007269BD" w:rsidRDefault="001D4890" w:rsidP="00657BBA">
      <w:pPr>
        <w:spacing w:line="360" w:lineRule="auto"/>
        <w:jc w:val="both"/>
      </w:pPr>
      <w:r>
        <w:t xml:space="preserve">One of the </w:t>
      </w:r>
      <w:r w:rsidR="00F75C15">
        <w:t xml:space="preserve">main </w:t>
      </w:r>
      <w:r>
        <w:t xml:space="preserve">assumptions in the cost-effectiveness simulation is that patients always go to their nearest available vascular site for vascular repairs. This assumption is tested with the case study of Yorkshire and the Humber as follows. </w:t>
      </w:r>
    </w:p>
    <w:p w14:paraId="7A334096" w14:textId="77777777" w:rsidR="008B1BBB" w:rsidRDefault="001D4890" w:rsidP="00E61BC2">
      <w:pPr>
        <w:spacing w:line="360" w:lineRule="auto"/>
        <w:jc w:val="both"/>
      </w:pPr>
      <w:r>
        <w:t xml:space="preserve">First, </w:t>
      </w:r>
      <w:r w:rsidR="00F75C15">
        <w:t xml:space="preserve">the data for Yorkshire and the Humber cohort was divided into five groups by </w:t>
      </w:r>
      <w:proofErr w:type="spellStart"/>
      <w:r w:rsidR="00F75C15">
        <w:t>hesyear</w:t>
      </w:r>
      <w:proofErr w:type="spellEnd"/>
      <w:r w:rsidR="00F75C15">
        <w:t xml:space="preserve">. The first group includes patients in the year 200607. That was when all 12 sites in the region were still active. The second group includes patients in the years between 200708 and 200809. That was after the closure of the Harrogate site and before the closure of the Scarborough site, thus there were 11 active sites in the region. The third group includes patients in the years between 200910 and 201011. That was after the closure of the Scarborough site and before the closure of the Airedale and the NE Lincolnshire sites, thus there were 10 active sites in the region. The fourth group includes patients in the years between 201112 and 201314. That was after the closure of the Airedale and NE Lincolnshire sites and before the closure of the Wakefield site, thus there were 8 active sites in the region. The fifth group includes patients in the years between 201415 and 201718. That was after the closure of the Wakefield site, thus there were 7 active sites in the region. </w:t>
      </w:r>
    </w:p>
    <w:p w14:paraId="1B41C3FD" w14:textId="77777777" w:rsidR="00E61BC2" w:rsidRDefault="00657BBA" w:rsidP="00E61BC2">
      <w:pPr>
        <w:spacing w:line="360" w:lineRule="auto"/>
        <w:jc w:val="both"/>
      </w:pPr>
      <w:r>
        <w:t xml:space="preserve">This is illustrated in </w:t>
      </w:r>
      <w:r>
        <w:fldChar w:fldCharType="begin"/>
      </w:r>
      <w:r>
        <w:instrText xml:space="preserve"> REF _Ref8650774 \h </w:instrText>
      </w:r>
      <w:r>
        <w:fldChar w:fldCharType="separate"/>
      </w:r>
      <w:r>
        <w:t xml:space="preserve">Table </w:t>
      </w:r>
      <w:r>
        <w:rPr>
          <w:noProof/>
        </w:rPr>
        <w:t>12</w:t>
      </w:r>
      <w:r>
        <w:fldChar w:fldCharType="end"/>
      </w:r>
      <w:r>
        <w:t>.</w:t>
      </w:r>
    </w:p>
    <w:p w14:paraId="45088060" w14:textId="77777777" w:rsidR="00E61BC2" w:rsidRDefault="00E61BC2" w:rsidP="00E61BC2">
      <w:pPr>
        <w:spacing w:line="360" w:lineRule="auto"/>
        <w:jc w:val="both"/>
      </w:pPr>
    </w:p>
    <w:p w14:paraId="7231B6F1" w14:textId="77777777" w:rsidR="001D4890" w:rsidRDefault="00657BBA" w:rsidP="00E61BC2">
      <w:pPr>
        <w:spacing w:line="360" w:lineRule="auto"/>
        <w:jc w:val="both"/>
      </w:pPr>
      <w:r>
        <w:t xml:space="preserve"> </w:t>
      </w:r>
    </w:p>
    <w:p w14:paraId="7844341B" w14:textId="77777777" w:rsidR="00A208D4" w:rsidRDefault="00A208D4" w:rsidP="00F75C15">
      <w:pPr>
        <w:pStyle w:val="Caption"/>
      </w:pPr>
      <w:bookmarkStart w:id="14" w:name="_Ref8650774"/>
    </w:p>
    <w:p w14:paraId="6B8FFA0D" w14:textId="77777777" w:rsidR="001D4890" w:rsidRDefault="00F75C15" w:rsidP="00F75C15">
      <w:pPr>
        <w:pStyle w:val="Caption"/>
      </w:pPr>
      <w:r>
        <w:t xml:space="preserve">Table </w:t>
      </w:r>
      <w:r w:rsidR="005C3A38">
        <w:rPr>
          <w:noProof/>
        </w:rPr>
        <w:fldChar w:fldCharType="begin"/>
      </w:r>
      <w:r w:rsidR="005C3A38">
        <w:rPr>
          <w:noProof/>
        </w:rPr>
        <w:instrText xml:space="preserve"> SEQ Table \* ARABIC </w:instrText>
      </w:r>
      <w:r w:rsidR="005C3A38">
        <w:rPr>
          <w:noProof/>
        </w:rPr>
        <w:fldChar w:fldCharType="separate"/>
      </w:r>
      <w:r w:rsidR="005F4083">
        <w:rPr>
          <w:noProof/>
        </w:rPr>
        <w:t>12</w:t>
      </w:r>
      <w:r w:rsidR="005C3A38">
        <w:rPr>
          <w:noProof/>
        </w:rPr>
        <w:fldChar w:fldCharType="end"/>
      </w:r>
      <w:bookmarkEnd w:id="14"/>
      <w:r>
        <w:t xml:space="preserve">: </w:t>
      </w:r>
      <w:r w:rsidR="00657BBA">
        <w:t xml:space="preserve">Active sites in Yorkshire and the Humber by years </w:t>
      </w:r>
    </w:p>
    <w:tbl>
      <w:tblPr>
        <w:tblStyle w:val="PlainTable1"/>
        <w:tblW w:w="0" w:type="auto"/>
        <w:tblLook w:val="04A0" w:firstRow="1" w:lastRow="0" w:firstColumn="1" w:lastColumn="0" w:noHBand="0" w:noVBand="1"/>
      </w:tblPr>
      <w:tblGrid>
        <w:gridCol w:w="1547"/>
        <w:gridCol w:w="1253"/>
        <w:gridCol w:w="964"/>
        <w:gridCol w:w="964"/>
        <w:gridCol w:w="964"/>
        <w:gridCol w:w="964"/>
        <w:gridCol w:w="964"/>
      </w:tblGrid>
      <w:tr w:rsidR="001D4890" w:rsidRPr="00B819E0" w14:paraId="1953F0CF" w14:textId="77777777" w:rsidTr="001D48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0D78A383" w14:textId="77777777" w:rsidR="001D4890" w:rsidRPr="00112794" w:rsidRDefault="001D4890" w:rsidP="00C2216D">
            <w:pPr>
              <w:spacing w:line="360" w:lineRule="auto"/>
              <w:rPr>
                <w:b w:val="0"/>
                <w:sz w:val="20"/>
              </w:rPr>
            </w:pPr>
            <w:r w:rsidRPr="00112794">
              <w:rPr>
                <w:sz w:val="20"/>
              </w:rPr>
              <w:t>City</w:t>
            </w:r>
          </w:p>
        </w:tc>
        <w:tc>
          <w:tcPr>
            <w:tcW w:w="1253" w:type="dxa"/>
          </w:tcPr>
          <w:p w14:paraId="68258386" w14:textId="77777777" w:rsidR="001D4890" w:rsidRPr="00112794" w:rsidRDefault="001D4890" w:rsidP="00C2216D">
            <w:pPr>
              <w:spacing w:line="360" w:lineRule="auto"/>
              <w:cnfStyle w:val="100000000000" w:firstRow="1" w:lastRow="0" w:firstColumn="0" w:lastColumn="0" w:oddVBand="0" w:evenVBand="0" w:oddHBand="0" w:evenHBand="0" w:firstRowFirstColumn="0" w:firstRowLastColumn="0" w:lastRowFirstColumn="0" w:lastRowLastColumn="0"/>
              <w:rPr>
                <w:b w:val="0"/>
                <w:sz w:val="20"/>
              </w:rPr>
            </w:pPr>
            <w:r w:rsidRPr="00112794">
              <w:rPr>
                <w:sz w:val="20"/>
              </w:rPr>
              <w:t>Post Code</w:t>
            </w:r>
          </w:p>
        </w:tc>
        <w:tc>
          <w:tcPr>
            <w:tcW w:w="964" w:type="dxa"/>
          </w:tcPr>
          <w:p w14:paraId="02338898" w14:textId="77777777" w:rsidR="001D4890" w:rsidRPr="00112794" w:rsidRDefault="001D4890" w:rsidP="00C2216D">
            <w:pPr>
              <w:spacing w:line="360" w:lineRule="auto"/>
              <w:cnfStyle w:val="100000000000" w:firstRow="1" w:lastRow="0" w:firstColumn="0" w:lastColumn="0" w:oddVBand="0" w:evenVBand="0" w:oddHBand="0" w:evenHBand="0" w:firstRowFirstColumn="0" w:firstRowLastColumn="0" w:lastRowFirstColumn="0" w:lastRowLastColumn="0"/>
              <w:rPr>
                <w:b w:val="0"/>
                <w:sz w:val="20"/>
              </w:rPr>
            </w:pPr>
            <w:r>
              <w:rPr>
                <w:b w:val="0"/>
                <w:sz w:val="20"/>
              </w:rPr>
              <w:t>200607</w:t>
            </w:r>
          </w:p>
        </w:tc>
        <w:tc>
          <w:tcPr>
            <w:tcW w:w="964" w:type="dxa"/>
          </w:tcPr>
          <w:p w14:paraId="0E0BEBB0" w14:textId="77777777" w:rsidR="001D4890" w:rsidRPr="001D4890" w:rsidRDefault="001D4890" w:rsidP="00C2216D">
            <w:pPr>
              <w:spacing w:line="360" w:lineRule="auto"/>
              <w:cnfStyle w:val="100000000000" w:firstRow="1" w:lastRow="0" w:firstColumn="0" w:lastColumn="0" w:oddVBand="0" w:evenVBand="0" w:oddHBand="0" w:evenHBand="0" w:firstRowFirstColumn="0" w:firstRowLastColumn="0" w:lastRowFirstColumn="0" w:lastRowLastColumn="0"/>
              <w:rPr>
                <w:b w:val="0"/>
                <w:sz w:val="20"/>
              </w:rPr>
            </w:pPr>
            <w:r>
              <w:rPr>
                <w:b w:val="0"/>
                <w:sz w:val="20"/>
              </w:rPr>
              <w:t xml:space="preserve">200708 </w:t>
            </w:r>
            <w:r w:rsidR="00F75C15">
              <w:rPr>
                <w:b w:val="0"/>
                <w:sz w:val="20"/>
              </w:rPr>
              <w:t>–</w:t>
            </w:r>
            <w:r>
              <w:rPr>
                <w:b w:val="0"/>
                <w:sz w:val="20"/>
              </w:rPr>
              <w:t xml:space="preserve"> 200809</w:t>
            </w:r>
          </w:p>
        </w:tc>
        <w:tc>
          <w:tcPr>
            <w:tcW w:w="964" w:type="dxa"/>
          </w:tcPr>
          <w:p w14:paraId="7A5D88D1" w14:textId="77777777" w:rsidR="001D4890" w:rsidRPr="005F4941" w:rsidRDefault="001D4890" w:rsidP="00C2216D">
            <w:pPr>
              <w:spacing w:line="360" w:lineRule="auto"/>
              <w:cnfStyle w:val="100000000000" w:firstRow="1" w:lastRow="0" w:firstColumn="0" w:lastColumn="0" w:oddVBand="0" w:evenVBand="0" w:oddHBand="0" w:evenHBand="0" w:firstRowFirstColumn="0" w:firstRowLastColumn="0" w:lastRowFirstColumn="0" w:lastRowLastColumn="0"/>
              <w:rPr>
                <w:b w:val="0"/>
                <w:sz w:val="20"/>
              </w:rPr>
            </w:pPr>
            <w:r>
              <w:rPr>
                <w:b w:val="0"/>
                <w:sz w:val="20"/>
              </w:rPr>
              <w:t>200910 - 201011</w:t>
            </w:r>
          </w:p>
        </w:tc>
        <w:tc>
          <w:tcPr>
            <w:tcW w:w="964" w:type="dxa"/>
          </w:tcPr>
          <w:p w14:paraId="7156AE83" w14:textId="77777777" w:rsidR="001D4890" w:rsidRPr="005F4941" w:rsidRDefault="001D4890" w:rsidP="00C2216D">
            <w:pPr>
              <w:spacing w:line="360" w:lineRule="auto"/>
              <w:cnfStyle w:val="100000000000" w:firstRow="1" w:lastRow="0" w:firstColumn="0" w:lastColumn="0" w:oddVBand="0" w:evenVBand="0" w:oddHBand="0" w:evenHBand="0" w:firstRowFirstColumn="0" w:firstRowLastColumn="0" w:lastRowFirstColumn="0" w:lastRowLastColumn="0"/>
              <w:rPr>
                <w:b w:val="0"/>
                <w:sz w:val="20"/>
              </w:rPr>
            </w:pPr>
            <w:r>
              <w:rPr>
                <w:b w:val="0"/>
                <w:sz w:val="20"/>
              </w:rPr>
              <w:t xml:space="preserve">201112 </w:t>
            </w:r>
            <w:r w:rsidR="00657BBA">
              <w:rPr>
                <w:b w:val="0"/>
                <w:sz w:val="20"/>
              </w:rPr>
              <w:t>–</w:t>
            </w:r>
            <w:r>
              <w:rPr>
                <w:b w:val="0"/>
                <w:sz w:val="20"/>
              </w:rPr>
              <w:t xml:space="preserve"> 201314</w:t>
            </w:r>
          </w:p>
        </w:tc>
        <w:tc>
          <w:tcPr>
            <w:tcW w:w="964" w:type="dxa"/>
          </w:tcPr>
          <w:p w14:paraId="2571C9B5" w14:textId="77777777" w:rsidR="001D4890" w:rsidRPr="005F4941" w:rsidRDefault="001D4890" w:rsidP="00C2216D">
            <w:pPr>
              <w:spacing w:line="360" w:lineRule="auto"/>
              <w:cnfStyle w:val="100000000000" w:firstRow="1" w:lastRow="0" w:firstColumn="0" w:lastColumn="0" w:oddVBand="0" w:evenVBand="0" w:oddHBand="0" w:evenHBand="0" w:firstRowFirstColumn="0" w:firstRowLastColumn="0" w:lastRowFirstColumn="0" w:lastRowLastColumn="0"/>
              <w:rPr>
                <w:b w:val="0"/>
                <w:sz w:val="20"/>
              </w:rPr>
            </w:pPr>
            <w:r>
              <w:rPr>
                <w:b w:val="0"/>
                <w:sz w:val="20"/>
              </w:rPr>
              <w:t>201415 - 201718</w:t>
            </w:r>
          </w:p>
        </w:tc>
      </w:tr>
      <w:tr w:rsidR="00F75C15" w14:paraId="22C0F738" w14:textId="77777777" w:rsidTr="001D4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449F6B0" w14:textId="77777777" w:rsidR="00F75C15" w:rsidRPr="00112794" w:rsidRDefault="00F75C15" w:rsidP="00F75C15">
            <w:pPr>
              <w:spacing w:line="360" w:lineRule="auto"/>
              <w:rPr>
                <w:sz w:val="20"/>
              </w:rPr>
            </w:pPr>
            <w:r w:rsidRPr="00112794">
              <w:rPr>
                <w:sz w:val="20"/>
              </w:rPr>
              <w:t>Hull</w:t>
            </w:r>
          </w:p>
        </w:tc>
        <w:tc>
          <w:tcPr>
            <w:tcW w:w="1253" w:type="dxa"/>
          </w:tcPr>
          <w:p w14:paraId="64898E55"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 xml:space="preserve">HU3 2JZ  </w:t>
            </w:r>
          </w:p>
        </w:tc>
        <w:tc>
          <w:tcPr>
            <w:tcW w:w="964" w:type="dxa"/>
          </w:tcPr>
          <w:p w14:paraId="0C264F43"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34BB84E6"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18E630F1"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51F048AB"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0A20AE07"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r>
      <w:tr w:rsidR="00F75C15" w14:paraId="44D16289" w14:textId="77777777" w:rsidTr="001D4890">
        <w:tc>
          <w:tcPr>
            <w:cnfStyle w:val="001000000000" w:firstRow="0" w:lastRow="0" w:firstColumn="1" w:lastColumn="0" w:oddVBand="0" w:evenVBand="0" w:oddHBand="0" w:evenHBand="0" w:firstRowFirstColumn="0" w:firstRowLastColumn="0" w:lastRowFirstColumn="0" w:lastRowLastColumn="0"/>
            <w:tcW w:w="1547" w:type="dxa"/>
          </w:tcPr>
          <w:p w14:paraId="5FD8ED6B" w14:textId="77777777" w:rsidR="00F75C15" w:rsidRPr="00112794" w:rsidRDefault="00F75C15" w:rsidP="00F75C15">
            <w:pPr>
              <w:spacing w:line="360" w:lineRule="auto"/>
              <w:rPr>
                <w:sz w:val="20"/>
              </w:rPr>
            </w:pPr>
            <w:r w:rsidRPr="00112794">
              <w:rPr>
                <w:sz w:val="20"/>
              </w:rPr>
              <w:t>York</w:t>
            </w:r>
          </w:p>
        </w:tc>
        <w:tc>
          <w:tcPr>
            <w:tcW w:w="1253" w:type="dxa"/>
          </w:tcPr>
          <w:p w14:paraId="2019060D"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YO31 8HE</w:t>
            </w:r>
          </w:p>
        </w:tc>
        <w:tc>
          <w:tcPr>
            <w:tcW w:w="964" w:type="dxa"/>
          </w:tcPr>
          <w:p w14:paraId="7B09F4F0"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4806A1AF"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41759236"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56770113"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2E711F7A"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r>
      <w:tr w:rsidR="00F75C15" w14:paraId="30A3905D" w14:textId="77777777" w:rsidTr="001D4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FBE0C18" w14:textId="77777777" w:rsidR="00F75C15" w:rsidRPr="00112794" w:rsidRDefault="00F75C15" w:rsidP="00F75C15">
            <w:pPr>
              <w:spacing w:line="360" w:lineRule="auto"/>
              <w:rPr>
                <w:sz w:val="20"/>
              </w:rPr>
            </w:pPr>
            <w:r>
              <w:rPr>
                <w:sz w:val="20"/>
              </w:rPr>
              <w:t>NE Lincolnshire</w:t>
            </w:r>
          </w:p>
        </w:tc>
        <w:tc>
          <w:tcPr>
            <w:tcW w:w="1253" w:type="dxa"/>
          </w:tcPr>
          <w:p w14:paraId="28E2C4E5"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DN33 2BA</w:t>
            </w:r>
          </w:p>
        </w:tc>
        <w:tc>
          <w:tcPr>
            <w:tcW w:w="964" w:type="dxa"/>
          </w:tcPr>
          <w:p w14:paraId="1EA8464E"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389DF242"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1E63923D"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6CEDF3D7" w14:textId="77777777" w:rsidR="00F75C15" w:rsidRP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color w:val="FF0000"/>
                <w:sz w:val="20"/>
              </w:rPr>
            </w:pPr>
            <w:r w:rsidRPr="00F75C15">
              <w:rPr>
                <w:color w:val="FF0000"/>
                <w:sz w:val="20"/>
              </w:rPr>
              <w:t>X</w:t>
            </w:r>
          </w:p>
        </w:tc>
        <w:tc>
          <w:tcPr>
            <w:tcW w:w="964" w:type="dxa"/>
          </w:tcPr>
          <w:p w14:paraId="7FB07C75" w14:textId="77777777" w:rsidR="00F75C15" w:rsidRP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color w:val="FF0000"/>
                <w:sz w:val="20"/>
              </w:rPr>
            </w:pPr>
            <w:r w:rsidRPr="00F75C15">
              <w:rPr>
                <w:color w:val="FF0000"/>
                <w:sz w:val="20"/>
              </w:rPr>
              <w:t>X</w:t>
            </w:r>
          </w:p>
        </w:tc>
      </w:tr>
      <w:tr w:rsidR="00F75C15" w14:paraId="6E549EE7" w14:textId="77777777" w:rsidTr="001D4890">
        <w:tc>
          <w:tcPr>
            <w:cnfStyle w:val="001000000000" w:firstRow="0" w:lastRow="0" w:firstColumn="1" w:lastColumn="0" w:oddVBand="0" w:evenVBand="0" w:oddHBand="0" w:evenHBand="0" w:firstRowFirstColumn="0" w:firstRowLastColumn="0" w:lastRowFirstColumn="0" w:lastRowLastColumn="0"/>
            <w:tcW w:w="1547" w:type="dxa"/>
          </w:tcPr>
          <w:p w14:paraId="0DE5FD01" w14:textId="77777777" w:rsidR="00F75C15" w:rsidRPr="00112794" w:rsidRDefault="00F75C15" w:rsidP="00F75C15">
            <w:pPr>
              <w:spacing w:line="360" w:lineRule="auto"/>
              <w:rPr>
                <w:sz w:val="20"/>
              </w:rPr>
            </w:pPr>
            <w:r w:rsidRPr="00112794">
              <w:rPr>
                <w:sz w:val="20"/>
              </w:rPr>
              <w:t>Scarborough</w:t>
            </w:r>
          </w:p>
        </w:tc>
        <w:tc>
          <w:tcPr>
            <w:tcW w:w="1253" w:type="dxa"/>
          </w:tcPr>
          <w:p w14:paraId="4B27D233"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YO12 6QL</w:t>
            </w:r>
          </w:p>
        </w:tc>
        <w:tc>
          <w:tcPr>
            <w:tcW w:w="964" w:type="dxa"/>
          </w:tcPr>
          <w:p w14:paraId="51B7C944"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12B10E45"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2D7D3B5E" w14:textId="77777777" w:rsidR="00F75C15" w:rsidRPr="00F75C15"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color w:val="FF0000"/>
                <w:sz w:val="20"/>
              </w:rPr>
            </w:pPr>
            <w:r w:rsidRPr="00F75C15">
              <w:rPr>
                <w:color w:val="FF0000"/>
                <w:sz w:val="20"/>
              </w:rPr>
              <w:t>X</w:t>
            </w:r>
          </w:p>
        </w:tc>
        <w:tc>
          <w:tcPr>
            <w:tcW w:w="964" w:type="dxa"/>
          </w:tcPr>
          <w:p w14:paraId="385B57DF" w14:textId="77777777" w:rsidR="00F75C15" w:rsidRPr="00F75C15"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color w:val="FF0000"/>
                <w:sz w:val="20"/>
              </w:rPr>
            </w:pPr>
            <w:r w:rsidRPr="00F75C15">
              <w:rPr>
                <w:color w:val="FF0000"/>
                <w:sz w:val="20"/>
              </w:rPr>
              <w:t>X</w:t>
            </w:r>
          </w:p>
        </w:tc>
        <w:tc>
          <w:tcPr>
            <w:tcW w:w="964" w:type="dxa"/>
          </w:tcPr>
          <w:p w14:paraId="2346CDDF" w14:textId="77777777" w:rsidR="00F75C15" w:rsidRPr="00F75C15"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color w:val="FF0000"/>
                <w:sz w:val="20"/>
              </w:rPr>
            </w:pPr>
            <w:r w:rsidRPr="00F75C15">
              <w:rPr>
                <w:color w:val="FF0000"/>
                <w:sz w:val="20"/>
              </w:rPr>
              <w:t>X</w:t>
            </w:r>
          </w:p>
        </w:tc>
      </w:tr>
      <w:tr w:rsidR="00F75C15" w14:paraId="6586202D" w14:textId="77777777" w:rsidTr="001D4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F60FB47" w14:textId="77777777" w:rsidR="00F75C15" w:rsidRPr="00112794" w:rsidRDefault="00F75C15" w:rsidP="00F75C15">
            <w:pPr>
              <w:spacing w:line="360" w:lineRule="auto"/>
              <w:rPr>
                <w:sz w:val="20"/>
              </w:rPr>
            </w:pPr>
            <w:r w:rsidRPr="00112794">
              <w:rPr>
                <w:sz w:val="20"/>
              </w:rPr>
              <w:t xml:space="preserve">Harrogate  </w:t>
            </w:r>
          </w:p>
        </w:tc>
        <w:tc>
          <w:tcPr>
            <w:tcW w:w="1253" w:type="dxa"/>
          </w:tcPr>
          <w:p w14:paraId="0694BA46"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HG2 7SX</w:t>
            </w:r>
          </w:p>
        </w:tc>
        <w:tc>
          <w:tcPr>
            <w:tcW w:w="964" w:type="dxa"/>
          </w:tcPr>
          <w:p w14:paraId="12BABCFD"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20F0FA2C" w14:textId="77777777" w:rsidR="00F75C15" w:rsidRP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color w:val="FF0000"/>
                <w:sz w:val="20"/>
              </w:rPr>
            </w:pPr>
            <w:r w:rsidRPr="00F75C15">
              <w:rPr>
                <w:color w:val="FF0000"/>
                <w:sz w:val="20"/>
              </w:rPr>
              <w:t>X</w:t>
            </w:r>
          </w:p>
        </w:tc>
        <w:tc>
          <w:tcPr>
            <w:tcW w:w="964" w:type="dxa"/>
          </w:tcPr>
          <w:p w14:paraId="57BA2FAB" w14:textId="77777777" w:rsidR="00F75C15" w:rsidRP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color w:val="FF0000"/>
                <w:sz w:val="20"/>
              </w:rPr>
            </w:pPr>
            <w:r w:rsidRPr="00F75C15">
              <w:rPr>
                <w:color w:val="FF0000"/>
                <w:sz w:val="20"/>
              </w:rPr>
              <w:t>X</w:t>
            </w:r>
          </w:p>
        </w:tc>
        <w:tc>
          <w:tcPr>
            <w:tcW w:w="964" w:type="dxa"/>
          </w:tcPr>
          <w:p w14:paraId="1CC38A1E" w14:textId="77777777" w:rsidR="00F75C15" w:rsidRP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color w:val="FF0000"/>
                <w:sz w:val="20"/>
              </w:rPr>
            </w:pPr>
            <w:r w:rsidRPr="00F75C15">
              <w:rPr>
                <w:color w:val="FF0000"/>
                <w:sz w:val="20"/>
              </w:rPr>
              <w:t>X</w:t>
            </w:r>
          </w:p>
        </w:tc>
        <w:tc>
          <w:tcPr>
            <w:tcW w:w="964" w:type="dxa"/>
          </w:tcPr>
          <w:p w14:paraId="14964FF5" w14:textId="77777777" w:rsidR="00F75C15" w:rsidRP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color w:val="FF0000"/>
                <w:sz w:val="20"/>
              </w:rPr>
            </w:pPr>
            <w:r w:rsidRPr="00F75C15">
              <w:rPr>
                <w:color w:val="FF0000"/>
                <w:sz w:val="20"/>
              </w:rPr>
              <w:t>X</w:t>
            </w:r>
          </w:p>
        </w:tc>
      </w:tr>
      <w:tr w:rsidR="00F75C15" w14:paraId="02166781" w14:textId="77777777" w:rsidTr="001D4890">
        <w:tc>
          <w:tcPr>
            <w:cnfStyle w:val="001000000000" w:firstRow="0" w:lastRow="0" w:firstColumn="1" w:lastColumn="0" w:oddVBand="0" w:evenVBand="0" w:oddHBand="0" w:evenHBand="0" w:firstRowFirstColumn="0" w:firstRowLastColumn="0" w:lastRowFirstColumn="0" w:lastRowLastColumn="0"/>
            <w:tcW w:w="1547" w:type="dxa"/>
          </w:tcPr>
          <w:p w14:paraId="658D44B3" w14:textId="77777777" w:rsidR="00F75C15" w:rsidRPr="00112794" w:rsidRDefault="00F75C15" w:rsidP="00F75C15">
            <w:pPr>
              <w:spacing w:line="360" w:lineRule="auto"/>
              <w:rPr>
                <w:sz w:val="20"/>
              </w:rPr>
            </w:pPr>
            <w:r>
              <w:rPr>
                <w:sz w:val="20"/>
              </w:rPr>
              <w:t>Wakefield</w:t>
            </w:r>
          </w:p>
        </w:tc>
        <w:tc>
          <w:tcPr>
            <w:tcW w:w="1253" w:type="dxa"/>
          </w:tcPr>
          <w:p w14:paraId="77916582"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WF1 4DG</w:t>
            </w:r>
          </w:p>
        </w:tc>
        <w:tc>
          <w:tcPr>
            <w:tcW w:w="964" w:type="dxa"/>
          </w:tcPr>
          <w:p w14:paraId="1FF02E4E"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5C2D2666"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4B26FC82"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31B1DED2"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0FBDDEBB"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F75C15">
              <w:rPr>
                <w:color w:val="FF0000"/>
                <w:sz w:val="20"/>
              </w:rPr>
              <w:t>X</w:t>
            </w:r>
          </w:p>
        </w:tc>
      </w:tr>
      <w:tr w:rsidR="00F75C15" w14:paraId="1AF18BE8" w14:textId="77777777" w:rsidTr="001D4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08D82DA" w14:textId="77777777" w:rsidR="00F75C15" w:rsidRPr="00112794" w:rsidRDefault="00F75C15" w:rsidP="00F75C15">
            <w:pPr>
              <w:spacing w:line="360" w:lineRule="auto"/>
              <w:rPr>
                <w:sz w:val="20"/>
              </w:rPr>
            </w:pPr>
            <w:r w:rsidRPr="00112794">
              <w:rPr>
                <w:sz w:val="20"/>
              </w:rPr>
              <w:t>Leeds</w:t>
            </w:r>
          </w:p>
        </w:tc>
        <w:tc>
          <w:tcPr>
            <w:tcW w:w="1253" w:type="dxa"/>
          </w:tcPr>
          <w:p w14:paraId="3FE1A782"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LS1 3EX</w:t>
            </w:r>
          </w:p>
        </w:tc>
        <w:tc>
          <w:tcPr>
            <w:tcW w:w="964" w:type="dxa"/>
          </w:tcPr>
          <w:p w14:paraId="4EE40D8D" w14:textId="77777777" w:rsid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1DE8C692" w14:textId="77777777" w:rsid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06169B8B" w14:textId="77777777" w:rsid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2C59E86F" w14:textId="77777777" w:rsid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1036A200" w14:textId="77777777" w:rsid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r>
      <w:tr w:rsidR="00F75C15" w14:paraId="251ED466" w14:textId="77777777" w:rsidTr="001D4890">
        <w:tc>
          <w:tcPr>
            <w:cnfStyle w:val="001000000000" w:firstRow="0" w:lastRow="0" w:firstColumn="1" w:lastColumn="0" w:oddVBand="0" w:evenVBand="0" w:oddHBand="0" w:evenHBand="0" w:firstRowFirstColumn="0" w:firstRowLastColumn="0" w:lastRowFirstColumn="0" w:lastRowLastColumn="0"/>
            <w:tcW w:w="1547" w:type="dxa"/>
          </w:tcPr>
          <w:p w14:paraId="3F90F5B5" w14:textId="77777777" w:rsidR="00F75C15" w:rsidRPr="00112794" w:rsidRDefault="00F75C15" w:rsidP="00F75C15">
            <w:pPr>
              <w:spacing w:line="360" w:lineRule="auto"/>
              <w:rPr>
                <w:sz w:val="20"/>
              </w:rPr>
            </w:pPr>
            <w:r w:rsidRPr="00112794">
              <w:rPr>
                <w:sz w:val="20"/>
              </w:rPr>
              <w:t>Bradford</w:t>
            </w:r>
          </w:p>
        </w:tc>
        <w:tc>
          <w:tcPr>
            <w:tcW w:w="1253" w:type="dxa"/>
          </w:tcPr>
          <w:p w14:paraId="372F03F6"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BD9 6RJ</w:t>
            </w:r>
          </w:p>
        </w:tc>
        <w:tc>
          <w:tcPr>
            <w:tcW w:w="964" w:type="dxa"/>
          </w:tcPr>
          <w:p w14:paraId="21B7BABA"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20833A8D"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656A09EA"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300B35EB"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39203F07"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r>
      <w:tr w:rsidR="00F75C15" w14:paraId="1EBC0F57" w14:textId="77777777" w:rsidTr="001D4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AC71344" w14:textId="77777777" w:rsidR="00F75C15" w:rsidRPr="00112794" w:rsidRDefault="00F75C15" w:rsidP="00F75C15">
            <w:pPr>
              <w:spacing w:line="360" w:lineRule="auto"/>
              <w:rPr>
                <w:sz w:val="20"/>
              </w:rPr>
            </w:pPr>
            <w:r w:rsidRPr="00112794">
              <w:rPr>
                <w:sz w:val="20"/>
              </w:rPr>
              <w:t>Airedale</w:t>
            </w:r>
          </w:p>
        </w:tc>
        <w:tc>
          <w:tcPr>
            <w:tcW w:w="1253" w:type="dxa"/>
          </w:tcPr>
          <w:p w14:paraId="323AD2BF"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BD20 6TD</w:t>
            </w:r>
          </w:p>
        </w:tc>
        <w:tc>
          <w:tcPr>
            <w:tcW w:w="964" w:type="dxa"/>
          </w:tcPr>
          <w:p w14:paraId="15B3C853"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2D18D0F3"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2C14C7FB"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3448A986" w14:textId="77777777" w:rsidR="00F75C15" w:rsidRP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color w:val="FF0000"/>
                <w:sz w:val="20"/>
              </w:rPr>
            </w:pPr>
            <w:r w:rsidRPr="00F75C15">
              <w:rPr>
                <w:color w:val="FF0000"/>
                <w:sz w:val="20"/>
              </w:rPr>
              <w:t>X</w:t>
            </w:r>
          </w:p>
        </w:tc>
        <w:tc>
          <w:tcPr>
            <w:tcW w:w="964" w:type="dxa"/>
          </w:tcPr>
          <w:p w14:paraId="629C3C24" w14:textId="77777777" w:rsidR="00F75C15" w:rsidRP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color w:val="FF0000"/>
                <w:sz w:val="20"/>
              </w:rPr>
            </w:pPr>
            <w:r w:rsidRPr="00F75C15">
              <w:rPr>
                <w:color w:val="FF0000"/>
                <w:sz w:val="20"/>
              </w:rPr>
              <w:t>X</w:t>
            </w:r>
          </w:p>
        </w:tc>
      </w:tr>
      <w:tr w:rsidR="00F75C15" w14:paraId="5040B7A8" w14:textId="77777777" w:rsidTr="001D4890">
        <w:tc>
          <w:tcPr>
            <w:cnfStyle w:val="001000000000" w:firstRow="0" w:lastRow="0" w:firstColumn="1" w:lastColumn="0" w:oddVBand="0" w:evenVBand="0" w:oddHBand="0" w:evenHBand="0" w:firstRowFirstColumn="0" w:firstRowLastColumn="0" w:lastRowFirstColumn="0" w:lastRowLastColumn="0"/>
            <w:tcW w:w="1547" w:type="dxa"/>
          </w:tcPr>
          <w:p w14:paraId="2FA5436A" w14:textId="77777777" w:rsidR="00F75C15" w:rsidRPr="00112794" w:rsidRDefault="00F75C15" w:rsidP="00F75C15">
            <w:pPr>
              <w:spacing w:line="360" w:lineRule="auto"/>
              <w:rPr>
                <w:sz w:val="20"/>
              </w:rPr>
            </w:pPr>
            <w:r w:rsidRPr="00112794">
              <w:rPr>
                <w:sz w:val="20"/>
              </w:rPr>
              <w:t>Huddersfield</w:t>
            </w:r>
          </w:p>
        </w:tc>
        <w:tc>
          <w:tcPr>
            <w:tcW w:w="1253" w:type="dxa"/>
          </w:tcPr>
          <w:p w14:paraId="721805EF"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HD3 3EA</w:t>
            </w:r>
          </w:p>
        </w:tc>
        <w:tc>
          <w:tcPr>
            <w:tcW w:w="964" w:type="dxa"/>
          </w:tcPr>
          <w:p w14:paraId="1EA88628"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422F6866"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2FC4EFEA"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3134BC33"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4F24C259"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r>
      <w:tr w:rsidR="00F75C15" w14:paraId="14E87DB5" w14:textId="77777777" w:rsidTr="001D4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5DD29460" w14:textId="77777777" w:rsidR="00F75C15" w:rsidRPr="00112794" w:rsidRDefault="00F75C15" w:rsidP="00F75C15">
            <w:pPr>
              <w:spacing w:line="360" w:lineRule="auto"/>
              <w:rPr>
                <w:sz w:val="20"/>
              </w:rPr>
            </w:pPr>
            <w:r w:rsidRPr="00112794">
              <w:rPr>
                <w:sz w:val="20"/>
              </w:rPr>
              <w:t>Sheffield</w:t>
            </w:r>
          </w:p>
        </w:tc>
        <w:tc>
          <w:tcPr>
            <w:tcW w:w="1253" w:type="dxa"/>
          </w:tcPr>
          <w:p w14:paraId="729319BD"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112794">
              <w:rPr>
                <w:sz w:val="20"/>
              </w:rPr>
              <w:t>S7 5AU</w:t>
            </w:r>
          </w:p>
        </w:tc>
        <w:tc>
          <w:tcPr>
            <w:tcW w:w="964" w:type="dxa"/>
          </w:tcPr>
          <w:p w14:paraId="104F52F6"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4E2E5F0A"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6400DAE5"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0FDA8259"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c>
          <w:tcPr>
            <w:tcW w:w="964" w:type="dxa"/>
          </w:tcPr>
          <w:p w14:paraId="4CC74D2C" w14:textId="77777777" w:rsidR="00F75C15" w:rsidRPr="00112794"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sym w:font="Wingdings" w:char="F0FE"/>
            </w:r>
          </w:p>
        </w:tc>
      </w:tr>
      <w:tr w:rsidR="00F75C15" w14:paraId="423A7973" w14:textId="77777777" w:rsidTr="001D4890">
        <w:tc>
          <w:tcPr>
            <w:cnfStyle w:val="001000000000" w:firstRow="0" w:lastRow="0" w:firstColumn="1" w:lastColumn="0" w:oddVBand="0" w:evenVBand="0" w:oddHBand="0" w:evenHBand="0" w:firstRowFirstColumn="0" w:firstRowLastColumn="0" w:lastRowFirstColumn="0" w:lastRowLastColumn="0"/>
            <w:tcW w:w="1547" w:type="dxa"/>
          </w:tcPr>
          <w:p w14:paraId="362B51BC" w14:textId="77777777" w:rsidR="00F75C15" w:rsidRPr="00112794" w:rsidRDefault="00F75C15" w:rsidP="00F75C15">
            <w:pPr>
              <w:spacing w:line="360" w:lineRule="auto"/>
              <w:rPr>
                <w:sz w:val="20"/>
              </w:rPr>
            </w:pPr>
            <w:r w:rsidRPr="00112794">
              <w:rPr>
                <w:sz w:val="20"/>
              </w:rPr>
              <w:t>Doncaster</w:t>
            </w:r>
          </w:p>
        </w:tc>
        <w:tc>
          <w:tcPr>
            <w:tcW w:w="1253" w:type="dxa"/>
          </w:tcPr>
          <w:p w14:paraId="36EB6FFD"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sidRPr="00112794">
              <w:rPr>
                <w:sz w:val="20"/>
              </w:rPr>
              <w:t>DN2 5LT</w:t>
            </w:r>
          </w:p>
        </w:tc>
        <w:tc>
          <w:tcPr>
            <w:tcW w:w="964" w:type="dxa"/>
          </w:tcPr>
          <w:p w14:paraId="01341CD3"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47426AF2"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5A0DAAC4"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595D193D"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c>
          <w:tcPr>
            <w:tcW w:w="964" w:type="dxa"/>
          </w:tcPr>
          <w:p w14:paraId="639E128C" w14:textId="77777777" w:rsidR="00F75C15" w:rsidRPr="00112794" w:rsidRDefault="00F75C15" w:rsidP="00F75C15">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sym w:font="Wingdings" w:char="F0FE"/>
            </w:r>
          </w:p>
        </w:tc>
      </w:tr>
      <w:tr w:rsidR="00F75C15" w14:paraId="7D4F54A2" w14:textId="77777777" w:rsidTr="00C22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gridSpan w:val="2"/>
          </w:tcPr>
          <w:p w14:paraId="5851FC87" w14:textId="77777777" w:rsidR="00F75C15" w:rsidRPr="00112794" w:rsidRDefault="00F75C15" w:rsidP="00F75C15">
            <w:pPr>
              <w:spacing w:line="360" w:lineRule="auto"/>
              <w:rPr>
                <w:sz w:val="20"/>
              </w:rPr>
            </w:pPr>
            <w:r>
              <w:rPr>
                <w:sz w:val="20"/>
              </w:rPr>
              <w:t>Total active sites</w:t>
            </w:r>
          </w:p>
        </w:tc>
        <w:tc>
          <w:tcPr>
            <w:tcW w:w="964" w:type="dxa"/>
          </w:tcPr>
          <w:p w14:paraId="5C51B962" w14:textId="77777777" w:rsidR="00F75C15" w:rsidRP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color w:val="FF0000"/>
                <w:sz w:val="20"/>
              </w:rPr>
            </w:pPr>
            <w:r w:rsidRPr="00F75C15">
              <w:rPr>
                <w:color w:val="FF0000"/>
                <w:sz w:val="20"/>
              </w:rPr>
              <w:t>12</w:t>
            </w:r>
          </w:p>
        </w:tc>
        <w:tc>
          <w:tcPr>
            <w:tcW w:w="964" w:type="dxa"/>
          </w:tcPr>
          <w:p w14:paraId="4641C57C" w14:textId="77777777" w:rsidR="00F75C15" w:rsidRP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color w:val="FF0000"/>
                <w:sz w:val="20"/>
              </w:rPr>
            </w:pPr>
            <w:r w:rsidRPr="00F75C15">
              <w:rPr>
                <w:color w:val="FF0000"/>
                <w:sz w:val="20"/>
              </w:rPr>
              <w:t>11</w:t>
            </w:r>
          </w:p>
        </w:tc>
        <w:tc>
          <w:tcPr>
            <w:tcW w:w="964" w:type="dxa"/>
          </w:tcPr>
          <w:p w14:paraId="6441FA90" w14:textId="77777777" w:rsidR="00F75C15" w:rsidRP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color w:val="FF0000"/>
                <w:sz w:val="20"/>
              </w:rPr>
            </w:pPr>
            <w:r w:rsidRPr="00F75C15">
              <w:rPr>
                <w:color w:val="FF0000"/>
                <w:sz w:val="20"/>
              </w:rPr>
              <w:t>10</w:t>
            </w:r>
          </w:p>
        </w:tc>
        <w:tc>
          <w:tcPr>
            <w:tcW w:w="964" w:type="dxa"/>
          </w:tcPr>
          <w:p w14:paraId="52366251" w14:textId="77777777" w:rsidR="00F75C15" w:rsidRP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color w:val="FF0000"/>
                <w:sz w:val="20"/>
              </w:rPr>
            </w:pPr>
            <w:r w:rsidRPr="00F75C15">
              <w:rPr>
                <w:color w:val="FF0000"/>
                <w:sz w:val="20"/>
              </w:rPr>
              <w:t>8</w:t>
            </w:r>
          </w:p>
        </w:tc>
        <w:tc>
          <w:tcPr>
            <w:tcW w:w="964" w:type="dxa"/>
          </w:tcPr>
          <w:p w14:paraId="0B66AEDF" w14:textId="77777777" w:rsidR="00F75C15" w:rsidRPr="00F75C15" w:rsidRDefault="00F75C15" w:rsidP="00F75C15">
            <w:pPr>
              <w:spacing w:line="360" w:lineRule="auto"/>
              <w:cnfStyle w:val="000000100000" w:firstRow="0" w:lastRow="0" w:firstColumn="0" w:lastColumn="0" w:oddVBand="0" w:evenVBand="0" w:oddHBand="1" w:evenHBand="0" w:firstRowFirstColumn="0" w:firstRowLastColumn="0" w:lastRowFirstColumn="0" w:lastRowLastColumn="0"/>
              <w:rPr>
                <w:color w:val="FF0000"/>
                <w:sz w:val="20"/>
              </w:rPr>
            </w:pPr>
            <w:r w:rsidRPr="00F75C15">
              <w:rPr>
                <w:color w:val="FF0000"/>
                <w:sz w:val="20"/>
              </w:rPr>
              <w:t>7</w:t>
            </w:r>
          </w:p>
        </w:tc>
      </w:tr>
    </w:tbl>
    <w:p w14:paraId="676ED0D2" w14:textId="77777777" w:rsidR="001D4890" w:rsidRDefault="001D4890" w:rsidP="00FA7117"/>
    <w:p w14:paraId="214DFFCD" w14:textId="77777777" w:rsidR="00657BBA" w:rsidRDefault="00657BBA" w:rsidP="00657BBA">
      <w:pPr>
        <w:spacing w:line="360" w:lineRule="auto"/>
        <w:jc w:val="both"/>
      </w:pPr>
      <w:r>
        <w:t xml:space="preserve">Second, for each of the five data periods, patients were re-assigned to their nearest available vascular centre in Yorkshire and the Humber region. This was done based on the straight-line distance between patient location (by LSOA) and the locations of available sites. After that, the site assigned based on nearest distance was compared with the site that patients actually went to. The results are reported </w:t>
      </w:r>
      <w:r w:rsidR="005D291F">
        <w:t xml:space="preserve">in </w:t>
      </w:r>
      <w:r w:rsidR="005D291F">
        <w:fldChar w:fldCharType="begin"/>
      </w:r>
      <w:r w:rsidR="005D291F">
        <w:instrText xml:space="preserve"> REF _Ref8652518 \h </w:instrText>
      </w:r>
      <w:r w:rsidR="005D291F">
        <w:fldChar w:fldCharType="separate"/>
      </w:r>
      <w:r w:rsidR="005D291F">
        <w:t xml:space="preserve">Table </w:t>
      </w:r>
      <w:r w:rsidR="005D291F">
        <w:rPr>
          <w:noProof/>
        </w:rPr>
        <w:t>13</w:t>
      </w:r>
      <w:r w:rsidR="005D291F">
        <w:fldChar w:fldCharType="end"/>
      </w:r>
      <w:r w:rsidR="005D291F">
        <w:t xml:space="preserve"> </w:t>
      </w:r>
      <w:r>
        <w:t xml:space="preserve">below. </w:t>
      </w:r>
    </w:p>
    <w:p w14:paraId="485B2A72" w14:textId="77777777" w:rsidR="005D291F" w:rsidRDefault="005D291F" w:rsidP="005D291F">
      <w:pPr>
        <w:pStyle w:val="Caption"/>
      </w:pPr>
      <w:bookmarkStart w:id="15" w:name="_Ref8652518"/>
      <w:r>
        <w:t xml:space="preserve">Table </w:t>
      </w:r>
      <w:r w:rsidR="005C3A38">
        <w:rPr>
          <w:noProof/>
        </w:rPr>
        <w:fldChar w:fldCharType="begin"/>
      </w:r>
      <w:r w:rsidR="005C3A38">
        <w:rPr>
          <w:noProof/>
        </w:rPr>
        <w:instrText xml:space="preserve"> SEQ Table \* ARABIC </w:instrText>
      </w:r>
      <w:r w:rsidR="005C3A38">
        <w:rPr>
          <w:noProof/>
        </w:rPr>
        <w:fldChar w:fldCharType="separate"/>
      </w:r>
      <w:r w:rsidR="005F4083">
        <w:rPr>
          <w:noProof/>
        </w:rPr>
        <w:t>13</w:t>
      </w:r>
      <w:r w:rsidR="005C3A38">
        <w:rPr>
          <w:noProof/>
        </w:rPr>
        <w:fldChar w:fldCharType="end"/>
      </w:r>
      <w:bookmarkEnd w:id="15"/>
      <w:r>
        <w:t>:</w:t>
      </w:r>
      <w:r w:rsidR="003F31B6">
        <w:t xml:space="preserve"> Proportion of patients went to their nearest site</w:t>
      </w:r>
      <w:r>
        <w:t xml:space="preserve"> </w:t>
      </w:r>
    </w:p>
    <w:tbl>
      <w:tblPr>
        <w:tblStyle w:val="TableGrid"/>
        <w:tblW w:w="8500" w:type="dxa"/>
        <w:tblLayout w:type="fixed"/>
        <w:tblLook w:val="04A0" w:firstRow="1" w:lastRow="0" w:firstColumn="1" w:lastColumn="0" w:noHBand="0" w:noVBand="1"/>
      </w:tblPr>
      <w:tblGrid>
        <w:gridCol w:w="1980"/>
        <w:gridCol w:w="1559"/>
        <w:gridCol w:w="1985"/>
        <w:gridCol w:w="1559"/>
        <w:gridCol w:w="1417"/>
      </w:tblGrid>
      <w:tr w:rsidR="005D291F" w14:paraId="5F672AA2" w14:textId="77777777" w:rsidTr="005D291F">
        <w:tc>
          <w:tcPr>
            <w:tcW w:w="1980" w:type="dxa"/>
            <w:vMerge w:val="restart"/>
          </w:tcPr>
          <w:p w14:paraId="6C78427C" w14:textId="77777777" w:rsidR="005D291F" w:rsidRDefault="005D291F" w:rsidP="00C2216D">
            <w:pPr>
              <w:spacing w:line="360" w:lineRule="auto"/>
              <w:jc w:val="both"/>
            </w:pPr>
          </w:p>
          <w:p w14:paraId="5C9B7E8A" w14:textId="77777777" w:rsidR="005D291F" w:rsidRDefault="005D291F" w:rsidP="00C2216D">
            <w:pPr>
              <w:spacing w:line="360" w:lineRule="auto"/>
              <w:jc w:val="both"/>
            </w:pPr>
            <w:r>
              <w:t>Data period</w:t>
            </w:r>
          </w:p>
        </w:tc>
        <w:tc>
          <w:tcPr>
            <w:tcW w:w="3544" w:type="dxa"/>
            <w:gridSpan w:val="2"/>
          </w:tcPr>
          <w:p w14:paraId="545258C3" w14:textId="77777777" w:rsidR="005D291F" w:rsidRDefault="005D291F" w:rsidP="00C2216D">
            <w:pPr>
              <w:spacing w:line="360" w:lineRule="auto"/>
              <w:jc w:val="both"/>
            </w:pPr>
            <w:r>
              <w:t xml:space="preserve">% went to nearest site </w:t>
            </w:r>
          </w:p>
        </w:tc>
        <w:tc>
          <w:tcPr>
            <w:tcW w:w="2976" w:type="dxa"/>
            <w:gridSpan w:val="2"/>
          </w:tcPr>
          <w:p w14:paraId="76240881" w14:textId="77777777" w:rsidR="005D291F" w:rsidRDefault="005D291F" w:rsidP="00C2216D">
            <w:pPr>
              <w:spacing w:line="360" w:lineRule="auto"/>
              <w:jc w:val="both"/>
            </w:pPr>
            <w:r>
              <w:t>Additional distance if not going to the nearest (miles)</w:t>
            </w:r>
          </w:p>
        </w:tc>
      </w:tr>
      <w:tr w:rsidR="005D291F" w14:paraId="26D06BE4" w14:textId="77777777" w:rsidTr="005D291F">
        <w:tc>
          <w:tcPr>
            <w:tcW w:w="1980" w:type="dxa"/>
            <w:vMerge/>
          </w:tcPr>
          <w:p w14:paraId="13DB66BD" w14:textId="77777777" w:rsidR="005D291F" w:rsidRDefault="005D291F" w:rsidP="00C2216D">
            <w:pPr>
              <w:spacing w:line="360" w:lineRule="auto"/>
              <w:jc w:val="both"/>
            </w:pPr>
          </w:p>
        </w:tc>
        <w:tc>
          <w:tcPr>
            <w:tcW w:w="1559" w:type="dxa"/>
          </w:tcPr>
          <w:p w14:paraId="63012AFD" w14:textId="77777777" w:rsidR="005D291F" w:rsidRDefault="005D291F" w:rsidP="00C2216D">
            <w:pPr>
              <w:spacing w:line="360" w:lineRule="auto"/>
              <w:jc w:val="both"/>
            </w:pPr>
            <w:r>
              <w:t>Within region</w:t>
            </w:r>
          </w:p>
        </w:tc>
        <w:tc>
          <w:tcPr>
            <w:tcW w:w="1985" w:type="dxa"/>
          </w:tcPr>
          <w:p w14:paraId="3EDB0CF1" w14:textId="77777777" w:rsidR="005D291F" w:rsidRDefault="005D291F" w:rsidP="00C2216D">
            <w:pPr>
              <w:spacing w:line="360" w:lineRule="auto"/>
              <w:jc w:val="both"/>
            </w:pPr>
            <w:r>
              <w:t>Include out-region</w:t>
            </w:r>
          </w:p>
        </w:tc>
        <w:tc>
          <w:tcPr>
            <w:tcW w:w="1559" w:type="dxa"/>
          </w:tcPr>
          <w:p w14:paraId="748C5C01" w14:textId="77777777" w:rsidR="005D291F" w:rsidRDefault="005D291F" w:rsidP="00C2216D">
            <w:pPr>
              <w:spacing w:line="360" w:lineRule="auto"/>
              <w:jc w:val="both"/>
            </w:pPr>
            <w:r>
              <w:t>Median</w:t>
            </w:r>
          </w:p>
        </w:tc>
        <w:tc>
          <w:tcPr>
            <w:tcW w:w="1417" w:type="dxa"/>
          </w:tcPr>
          <w:p w14:paraId="47B28621" w14:textId="77777777" w:rsidR="005D291F" w:rsidRDefault="005D291F" w:rsidP="00C2216D">
            <w:pPr>
              <w:spacing w:line="360" w:lineRule="auto"/>
              <w:jc w:val="both"/>
            </w:pPr>
            <w:r>
              <w:t>Mean</w:t>
            </w:r>
          </w:p>
        </w:tc>
      </w:tr>
      <w:tr w:rsidR="00AA40BF" w14:paraId="273E7118" w14:textId="77777777" w:rsidTr="005D291F">
        <w:tc>
          <w:tcPr>
            <w:tcW w:w="1980" w:type="dxa"/>
          </w:tcPr>
          <w:p w14:paraId="24C7E3BE" w14:textId="77777777" w:rsidR="00AA40BF" w:rsidRDefault="00AA40BF" w:rsidP="00C2216D">
            <w:pPr>
              <w:spacing w:line="360" w:lineRule="auto"/>
              <w:jc w:val="both"/>
            </w:pPr>
            <w:r>
              <w:t>200607</w:t>
            </w:r>
          </w:p>
        </w:tc>
        <w:tc>
          <w:tcPr>
            <w:tcW w:w="1559" w:type="dxa"/>
          </w:tcPr>
          <w:p w14:paraId="2378C8AA" w14:textId="77777777" w:rsidR="00AA40BF" w:rsidRDefault="00AA40BF" w:rsidP="00C2216D">
            <w:pPr>
              <w:spacing w:line="360" w:lineRule="auto"/>
              <w:jc w:val="both"/>
            </w:pPr>
            <w:r>
              <w:t>76.54%</w:t>
            </w:r>
          </w:p>
        </w:tc>
        <w:tc>
          <w:tcPr>
            <w:tcW w:w="1985" w:type="dxa"/>
          </w:tcPr>
          <w:p w14:paraId="6BB6F706" w14:textId="77777777" w:rsidR="00AA40BF" w:rsidRDefault="00AA40BF" w:rsidP="00C2216D">
            <w:pPr>
              <w:spacing w:line="360" w:lineRule="auto"/>
              <w:jc w:val="both"/>
            </w:pPr>
            <w:r>
              <w:t>79.25%</w:t>
            </w:r>
          </w:p>
        </w:tc>
        <w:tc>
          <w:tcPr>
            <w:tcW w:w="1559" w:type="dxa"/>
          </w:tcPr>
          <w:p w14:paraId="652F9624" w14:textId="77777777" w:rsidR="00AA40BF" w:rsidRDefault="00AA40BF" w:rsidP="00C2216D">
            <w:pPr>
              <w:spacing w:line="360" w:lineRule="auto"/>
              <w:jc w:val="both"/>
            </w:pPr>
            <w:r>
              <w:t>4.1</w:t>
            </w:r>
          </w:p>
        </w:tc>
        <w:tc>
          <w:tcPr>
            <w:tcW w:w="1417" w:type="dxa"/>
          </w:tcPr>
          <w:p w14:paraId="6D9FD1BF" w14:textId="77777777" w:rsidR="00AA40BF" w:rsidRDefault="00AA40BF" w:rsidP="00C2216D">
            <w:pPr>
              <w:spacing w:line="360" w:lineRule="auto"/>
              <w:jc w:val="both"/>
            </w:pPr>
            <w:r>
              <w:t>11.4</w:t>
            </w:r>
          </w:p>
        </w:tc>
      </w:tr>
      <w:tr w:rsidR="00AA40BF" w14:paraId="3EDCFA4E" w14:textId="77777777" w:rsidTr="005D291F">
        <w:tc>
          <w:tcPr>
            <w:tcW w:w="1980" w:type="dxa"/>
          </w:tcPr>
          <w:p w14:paraId="21855DFE" w14:textId="77777777" w:rsidR="00AA40BF" w:rsidRDefault="00AA40BF" w:rsidP="00C2216D">
            <w:pPr>
              <w:spacing w:line="360" w:lineRule="auto"/>
              <w:jc w:val="both"/>
            </w:pPr>
            <w:r>
              <w:t>200708 - 200809</w:t>
            </w:r>
          </w:p>
        </w:tc>
        <w:tc>
          <w:tcPr>
            <w:tcW w:w="1559" w:type="dxa"/>
          </w:tcPr>
          <w:p w14:paraId="14739C90" w14:textId="77777777" w:rsidR="00AA40BF" w:rsidRDefault="00AA40BF" w:rsidP="00C2216D">
            <w:pPr>
              <w:spacing w:line="360" w:lineRule="auto"/>
              <w:jc w:val="both"/>
            </w:pPr>
            <w:r>
              <w:t>73.4%</w:t>
            </w:r>
          </w:p>
        </w:tc>
        <w:tc>
          <w:tcPr>
            <w:tcW w:w="1985" w:type="dxa"/>
          </w:tcPr>
          <w:p w14:paraId="3249F823" w14:textId="77777777" w:rsidR="00AA40BF" w:rsidRDefault="00AA40BF" w:rsidP="00C2216D">
            <w:pPr>
              <w:spacing w:line="360" w:lineRule="auto"/>
              <w:jc w:val="both"/>
            </w:pPr>
            <w:r>
              <w:t>75.2%</w:t>
            </w:r>
          </w:p>
        </w:tc>
        <w:tc>
          <w:tcPr>
            <w:tcW w:w="1559" w:type="dxa"/>
          </w:tcPr>
          <w:p w14:paraId="5AC1168D" w14:textId="77777777" w:rsidR="00AA40BF" w:rsidRDefault="00AA40BF" w:rsidP="00C2216D">
            <w:pPr>
              <w:spacing w:line="360" w:lineRule="auto"/>
              <w:jc w:val="both"/>
            </w:pPr>
            <w:r>
              <w:t>4.7</w:t>
            </w:r>
          </w:p>
        </w:tc>
        <w:tc>
          <w:tcPr>
            <w:tcW w:w="1417" w:type="dxa"/>
          </w:tcPr>
          <w:p w14:paraId="3C8B1622" w14:textId="77777777" w:rsidR="00AA40BF" w:rsidRDefault="00AA40BF" w:rsidP="00C2216D">
            <w:pPr>
              <w:spacing w:line="360" w:lineRule="auto"/>
              <w:jc w:val="both"/>
            </w:pPr>
            <w:r>
              <w:t>10.8</w:t>
            </w:r>
          </w:p>
        </w:tc>
      </w:tr>
      <w:tr w:rsidR="00AA40BF" w14:paraId="0FF4A1E3" w14:textId="77777777" w:rsidTr="005D291F">
        <w:tc>
          <w:tcPr>
            <w:tcW w:w="1980" w:type="dxa"/>
          </w:tcPr>
          <w:p w14:paraId="3E7B6804" w14:textId="77777777" w:rsidR="00AA40BF" w:rsidRDefault="00AA40BF" w:rsidP="00C2216D">
            <w:pPr>
              <w:spacing w:line="360" w:lineRule="auto"/>
              <w:jc w:val="both"/>
            </w:pPr>
            <w:r w:rsidRPr="00AA40BF">
              <w:t>200910 - 201011</w:t>
            </w:r>
          </w:p>
        </w:tc>
        <w:tc>
          <w:tcPr>
            <w:tcW w:w="1559" w:type="dxa"/>
          </w:tcPr>
          <w:p w14:paraId="1F522797" w14:textId="77777777" w:rsidR="00AA40BF" w:rsidRDefault="005D291F" w:rsidP="00C2216D">
            <w:pPr>
              <w:spacing w:line="360" w:lineRule="auto"/>
              <w:jc w:val="both"/>
            </w:pPr>
            <w:r>
              <w:t>71.7%</w:t>
            </w:r>
          </w:p>
        </w:tc>
        <w:tc>
          <w:tcPr>
            <w:tcW w:w="1985" w:type="dxa"/>
          </w:tcPr>
          <w:p w14:paraId="2DC57FEF" w14:textId="77777777" w:rsidR="00AA40BF" w:rsidRDefault="005D291F" w:rsidP="00C2216D">
            <w:pPr>
              <w:spacing w:line="360" w:lineRule="auto"/>
              <w:jc w:val="both"/>
            </w:pPr>
            <w:r>
              <w:t>75.4%</w:t>
            </w:r>
          </w:p>
        </w:tc>
        <w:tc>
          <w:tcPr>
            <w:tcW w:w="1559" w:type="dxa"/>
          </w:tcPr>
          <w:p w14:paraId="0CC9B085" w14:textId="77777777" w:rsidR="00AA40BF" w:rsidRDefault="005D291F" w:rsidP="00C2216D">
            <w:pPr>
              <w:spacing w:line="360" w:lineRule="auto"/>
              <w:jc w:val="both"/>
            </w:pPr>
            <w:r>
              <w:t>4.2</w:t>
            </w:r>
          </w:p>
        </w:tc>
        <w:tc>
          <w:tcPr>
            <w:tcW w:w="1417" w:type="dxa"/>
          </w:tcPr>
          <w:p w14:paraId="308596BD" w14:textId="77777777" w:rsidR="00AA40BF" w:rsidRDefault="005D291F" w:rsidP="00C2216D">
            <w:pPr>
              <w:spacing w:line="360" w:lineRule="auto"/>
              <w:jc w:val="both"/>
            </w:pPr>
            <w:r>
              <w:t>13.2</w:t>
            </w:r>
          </w:p>
        </w:tc>
      </w:tr>
      <w:tr w:rsidR="00AA40BF" w14:paraId="4F6D5CFB" w14:textId="77777777" w:rsidTr="005D291F">
        <w:tc>
          <w:tcPr>
            <w:tcW w:w="1980" w:type="dxa"/>
          </w:tcPr>
          <w:p w14:paraId="36F3310C" w14:textId="77777777" w:rsidR="00AA40BF" w:rsidRDefault="005D291F" w:rsidP="00C2216D">
            <w:pPr>
              <w:spacing w:line="360" w:lineRule="auto"/>
              <w:jc w:val="both"/>
            </w:pPr>
            <w:r w:rsidRPr="005D291F">
              <w:t>201112 – 201314</w:t>
            </w:r>
          </w:p>
        </w:tc>
        <w:tc>
          <w:tcPr>
            <w:tcW w:w="1559" w:type="dxa"/>
          </w:tcPr>
          <w:p w14:paraId="2AAD59F3" w14:textId="77777777" w:rsidR="00AA40BF" w:rsidRDefault="005D291F" w:rsidP="00C2216D">
            <w:pPr>
              <w:spacing w:line="360" w:lineRule="auto"/>
              <w:jc w:val="both"/>
            </w:pPr>
            <w:r>
              <w:t>73.4%</w:t>
            </w:r>
          </w:p>
        </w:tc>
        <w:tc>
          <w:tcPr>
            <w:tcW w:w="1985" w:type="dxa"/>
          </w:tcPr>
          <w:p w14:paraId="576088C8" w14:textId="77777777" w:rsidR="00AA40BF" w:rsidRDefault="005D291F" w:rsidP="00C2216D">
            <w:pPr>
              <w:spacing w:line="360" w:lineRule="auto"/>
              <w:jc w:val="both"/>
            </w:pPr>
            <w:r>
              <w:t>76.2%</w:t>
            </w:r>
          </w:p>
        </w:tc>
        <w:tc>
          <w:tcPr>
            <w:tcW w:w="1559" w:type="dxa"/>
          </w:tcPr>
          <w:p w14:paraId="2D6C41C4" w14:textId="77777777" w:rsidR="00AA40BF" w:rsidRDefault="005D291F" w:rsidP="00C2216D">
            <w:pPr>
              <w:spacing w:line="360" w:lineRule="auto"/>
              <w:jc w:val="both"/>
            </w:pPr>
            <w:r>
              <w:t>4.2</w:t>
            </w:r>
          </w:p>
        </w:tc>
        <w:tc>
          <w:tcPr>
            <w:tcW w:w="1417" w:type="dxa"/>
          </w:tcPr>
          <w:p w14:paraId="2D23BF44" w14:textId="77777777" w:rsidR="00AA40BF" w:rsidRDefault="005D291F" w:rsidP="00C2216D">
            <w:pPr>
              <w:spacing w:line="360" w:lineRule="auto"/>
              <w:jc w:val="both"/>
            </w:pPr>
            <w:r>
              <w:t>12.1</w:t>
            </w:r>
          </w:p>
        </w:tc>
      </w:tr>
      <w:tr w:rsidR="00AA40BF" w14:paraId="42D0C8AF" w14:textId="77777777" w:rsidTr="005D291F">
        <w:tc>
          <w:tcPr>
            <w:tcW w:w="1980" w:type="dxa"/>
          </w:tcPr>
          <w:p w14:paraId="3194FBC0" w14:textId="77777777" w:rsidR="00AA40BF" w:rsidRDefault="005D291F" w:rsidP="00C2216D">
            <w:pPr>
              <w:spacing w:line="360" w:lineRule="auto"/>
              <w:jc w:val="both"/>
            </w:pPr>
            <w:r>
              <w:t>201415 - 201718</w:t>
            </w:r>
          </w:p>
        </w:tc>
        <w:tc>
          <w:tcPr>
            <w:tcW w:w="1559" w:type="dxa"/>
          </w:tcPr>
          <w:p w14:paraId="3B8AC42D" w14:textId="77777777" w:rsidR="00AA40BF" w:rsidRDefault="005D291F" w:rsidP="00C2216D">
            <w:pPr>
              <w:spacing w:line="360" w:lineRule="auto"/>
              <w:jc w:val="both"/>
            </w:pPr>
            <w:r>
              <w:t>76.4%</w:t>
            </w:r>
          </w:p>
        </w:tc>
        <w:tc>
          <w:tcPr>
            <w:tcW w:w="1985" w:type="dxa"/>
          </w:tcPr>
          <w:p w14:paraId="5594BA81" w14:textId="77777777" w:rsidR="00AA40BF" w:rsidRDefault="005D291F" w:rsidP="00C2216D">
            <w:pPr>
              <w:spacing w:line="360" w:lineRule="auto"/>
              <w:jc w:val="both"/>
            </w:pPr>
            <w:r>
              <w:t>80.1%</w:t>
            </w:r>
          </w:p>
        </w:tc>
        <w:tc>
          <w:tcPr>
            <w:tcW w:w="1559" w:type="dxa"/>
          </w:tcPr>
          <w:p w14:paraId="45C3BDA1" w14:textId="77777777" w:rsidR="00AA40BF" w:rsidRDefault="005D291F" w:rsidP="00C2216D">
            <w:pPr>
              <w:spacing w:line="360" w:lineRule="auto"/>
              <w:jc w:val="both"/>
            </w:pPr>
            <w:r>
              <w:t>4.9</w:t>
            </w:r>
          </w:p>
        </w:tc>
        <w:tc>
          <w:tcPr>
            <w:tcW w:w="1417" w:type="dxa"/>
          </w:tcPr>
          <w:p w14:paraId="014EB05E" w14:textId="77777777" w:rsidR="00AA40BF" w:rsidRDefault="005D291F" w:rsidP="00C2216D">
            <w:pPr>
              <w:spacing w:line="360" w:lineRule="auto"/>
              <w:jc w:val="both"/>
            </w:pPr>
            <w:r>
              <w:t>14.4</w:t>
            </w:r>
          </w:p>
        </w:tc>
      </w:tr>
    </w:tbl>
    <w:p w14:paraId="5EAFC6CD" w14:textId="77777777" w:rsidR="00C2216D" w:rsidRDefault="00C2216D" w:rsidP="00C2216D">
      <w:pPr>
        <w:spacing w:line="360" w:lineRule="auto"/>
        <w:jc w:val="both"/>
      </w:pPr>
    </w:p>
    <w:p w14:paraId="186A9AFD" w14:textId="77777777" w:rsidR="00657BBA" w:rsidRDefault="003F31B6" w:rsidP="00E61BC2">
      <w:pPr>
        <w:spacing w:line="360" w:lineRule="auto"/>
        <w:jc w:val="both"/>
      </w:pPr>
      <w:r>
        <w:lastRenderedPageBreak/>
        <w:t xml:space="preserve">Majority of patients went to the nearest site for their vascular repairs (more than 70% and up o 80%). </w:t>
      </w:r>
    </w:p>
    <w:p w14:paraId="4CC8A0B2" w14:textId="77777777" w:rsidR="00E61BC2" w:rsidRDefault="00E61BC2" w:rsidP="00E61BC2">
      <w:pPr>
        <w:spacing w:line="360" w:lineRule="auto"/>
        <w:jc w:val="both"/>
      </w:pPr>
    </w:p>
    <w:p w14:paraId="47C99CC3" w14:textId="77777777" w:rsidR="0071786E" w:rsidRDefault="00E61BC2" w:rsidP="00E61BC2">
      <w:pPr>
        <w:pStyle w:val="ListParagraph"/>
        <w:numPr>
          <w:ilvl w:val="0"/>
          <w:numId w:val="7"/>
        </w:numPr>
      </w:pPr>
      <w:r>
        <w:t xml:space="preserve">IMPACT OF RECONFIGURATION ON THE PROPORTION OF PATIENTS RECEIVING EVAR </w:t>
      </w:r>
    </w:p>
    <w:p w14:paraId="1C8FC55A" w14:textId="77777777" w:rsidR="005F4083" w:rsidRDefault="00314BBC" w:rsidP="00314BBC">
      <w:pPr>
        <w:spacing w:line="360" w:lineRule="auto"/>
        <w:jc w:val="both"/>
      </w:pPr>
      <w:r>
        <w:t xml:space="preserve">Another main assumption in the base-case for the cost-effectiveness simulation is that reconfiguration of services does not affect the treatment decision between EVAR and open repairs.  To test this assumption with the case study of Yorkshire and the Humber, the proportion of EVAR in the region was summarised and compared between different years to see the changes in proportion of EVAR before and after the year of reconfiguration. The results are presented in </w:t>
      </w:r>
      <w:r>
        <w:fldChar w:fldCharType="begin"/>
      </w:r>
      <w:r>
        <w:instrText xml:space="preserve"> REF _Ref8680149 \h </w:instrText>
      </w:r>
      <w:r>
        <w:fldChar w:fldCharType="separate"/>
      </w:r>
      <w:r>
        <w:t xml:space="preserve">Table </w:t>
      </w:r>
      <w:r>
        <w:rPr>
          <w:noProof/>
        </w:rPr>
        <w:t>14</w:t>
      </w:r>
      <w:r>
        <w:fldChar w:fldCharType="end"/>
      </w:r>
      <w:r>
        <w:t xml:space="preserve">. </w:t>
      </w:r>
    </w:p>
    <w:p w14:paraId="5292BF5F" w14:textId="77777777" w:rsidR="00E61BC2" w:rsidRDefault="00E61BC2" w:rsidP="00E61BC2">
      <w:pPr>
        <w:spacing w:after="0" w:line="240" w:lineRule="auto"/>
        <w:jc w:val="both"/>
      </w:pPr>
    </w:p>
    <w:p w14:paraId="62C489C2" w14:textId="77777777" w:rsidR="005F4083" w:rsidRDefault="005F4083" w:rsidP="005F4083">
      <w:pPr>
        <w:pStyle w:val="Caption"/>
      </w:pPr>
      <w:bookmarkStart w:id="16" w:name="_Ref8680149"/>
      <w:r>
        <w:t xml:space="preserve">Table </w:t>
      </w:r>
      <w:r w:rsidR="005C3A38">
        <w:rPr>
          <w:noProof/>
        </w:rPr>
        <w:fldChar w:fldCharType="begin"/>
      </w:r>
      <w:r w:rsidR="005C3A38">
        <w:rPr>
          <w:noProof/>
        </w:rPr>
        <w:instrText xml:space="preserve"> SEQ Table \* ARABIC </w:instrText>
      </w:r>
      <w:r w:rsidR="005C3A38">
        <w:rPr>
          <w:noProof/>
        </w:rPr>
        <w:fldChar w:fldCharType="separate"/>
      </w:r>
      <w:r>
        <w:rPr>
          <w:noProof/>
        </w:rPr>
        <w:t>14</w:t>
      </w:r>
      <w:r w:rsidR="005C3A38">
        <w:rPr>
          <w:noProof/>
        </w:rPr>
        <w:fldChar w:fldCharType="end"/>
      </w:r>
      <w:bookmarkEnd w:id="16"/>
      <w:r>
        <w:t xml:space="preserve">: proportion of </w:t>
      </w:r>
      <w:proofErr w:type="spellStart"/>
      <w:r>
        <w:t>evar</w:t>
      </w:r>
      <w:proofErr w:type="spellEnd"/>
      <w:r>
        <w:t xml:space="preserve"> for Yorkshire and the Humber region by years </w:t>
      </w:r>
    </w:p>
    <w:tbl>
      <w:tblPr>
        <w:tblStyle w:val="GridTable4-Accent3"/>
        <w:tblW w:w="5043" w:type="dxa"/>
        <w:tblLook w:val="04A0" w:firstRow="1" w:lastRow="0" w:firstColumn="1" w:lastColumn="0" w:noHBand="0" w:noVBand="1"/>
      </w:tblPr>
      <w:tblGrid>
        <w:gridCol w:w="960"/>
        <w:gridCol w:w="1361"/>
        <w:gridCol w:w="1361"/>
        <w:gridCol w:w="1361"/>
      </w:tblGrid>
      <w:tr w:rsidR="005F4083" w:rsidRPr="005F4083" w14:paraId="524886C3" w14:textId="77777777" w:rsidTr="005F408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28E5C70C" w14:textId="77777777" w:rsidR="005F4083" w:rsidRPr="005F4083" w:rsidRDefault="005F4083" w:rsidP="005F4083">
            <w:pPr>
              <w:rPr>
                <w:rFonts w:ascii="Calibri" w:eastAsia="Times New Roman" w:hAnsi="Calibri" w:cs="Times New Roman"/>
                <w:color w:val="000000"/>
                <w:sz w:val="22"/>
                <w:lang w:eastAsia="en-GB"/>
              </w:rPr>
            </w:pPr>
          </w:p>
        </w:tc>
        <w:tc>
          <w:tcPr>
            <w:tcW w:w="4083" w:type="dxa"/>
            <w:gridSpan w:val="3"/>
            <w:noWrap/>
          </w:tcPr>
          <w:p w14:paraId="1211DC99" w14:textId="77777777" w:rsidR="005F4083" w:rsidRPr="005F4083" w:rsidRDefault="005F4083" w:rsidP="005F408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Pr>
                <w:rFonts w:ascii="Calibri" w:eastAsia="Times New Roman" w:hAnsi="Calibri" w:cs="Times New Roman"/>
                <w:color w:val="000000"/>
                <w:sz w:val="22"/>
                <w:lang w:eastAsia="en-GB"/>
              </w:rPr>
              <w:t>Yorkshire and the Humber region</w:t>
            </w:r>
          </w:p>
        </w:tc>
      </w:tr>
      <w:tr w:rsidR="005F4083" w:rsidRPr="005F4083" w14:paraId="3FC19BC1" w14:textId="77777777" w:rsidTr="005F40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366D4FC" w14:textId="77777777" w:rsidR="005F4083" w:rsidRPr="005F4083" w:rsidRDefault="005F4083" w:rsidP="005F4083">
            <w:pPr>
              <w:rPr>
                <w:rFonts w:ascii="Calibri" w:eastAsia="Times New Roman" w:hAnsi="Calibri" w:cs="Times New Roman"/>
                <w:color w:val="000000"/>
                <w:sz w:val="22"/>
                <w:lang w:eastAsia="en-GB"/>
              </w:rPr>
            </w:pPr>
            <w:proofErr w:type="spellStart"/>
            <w:r w:rsidRPr="005F4083">
              <w:rPr>
                <w:rFonts w:ascii="Calibri" w:eastAsia="Times New Roman" w:hAnsi="Calibri" w:cs="Times New Roman"/>
                <w:color w:val="000000"/>
                <w:sz w:val="22"/>
                <w:lang w:eastAsia="en-GB"/>
              </w:rPr>
              <w:t>hesyear</w:t>
            </w:r>
            <w:proofErr w:type="spellEnd"/>
          </w:p>
        </w:tc>
        <w:tc>
          <w:tcPr>
            <w:tcW w:w="1361" w:type="dxa"/>
            <w:noWrap/>
            <w:hideMark/>
          </w:tcPr>
          <w:p w14:paraId="5B05A1D6" w14:textId="77777777" w:rsidR="005F4083" w:rsidRPr="005F4083" w:rsidRDefault="005F4083" w:rsidP="005F40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2"/>
                <w:lang w:eastAsia="en-GB"/>
              </w:rPr>
            </w:pPr>
            <w:proofErr w:type="spellStart"/>
            <w:r w:rsidRPr="005F4083">
              <w:rPr>
                <w:rFonts w:ascii="Calibri" w:eastAsia="Times New Roman" w:hAnsi="Calibri" w:cs="Times New Roman"/>
                <w:b/>
                <w:color w:val="000000"/>
                <w:sz w:val="22"/>
                <w:lang w:eastAsia="en-GB"/>
              </w:rPr>
              <w:t>n_case</w:t>
            </w:r>
            <w:proofErr w:type="spellEnd"/>
          </w:p>
        </w:tc>
        <w:tc>
          <w:tcPr>
            <w:tcW w:w="1361" w:type="dxa"/>
            <w:noWrap/>
            <w:hideMark/>
          </w:tcPr>
          <w:p w14:paraId="021E63DD" w14:textId="77777777" w:rsidR="005F4083" w:rsidRPr="005F4083" w:rsidRDefault="005F4083" w:rsidP="005F40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2"/>
                <w:lang w:eastAsia="en-GB"/>
              </w:rPr>
            </w:pPr>
            <w:proofErr w:type="spellStart"/>
            <w:r w:rsidRPr="005F4083">
              <w:rPr>
                <w:rFonts w:ascii="Calibri" w:eastAsia="Times New Roman" w:hAnsi="Calibri" w:cs="Times New Roman"/>
                <w:b/>
                <w:color w:val="000000"/>
                <w:sz w:val="22"/>
                <w:lang w:eastAsia="en-GB"/>
              </w:rPr>
              <w:t>n_evar</w:t>
            </w:r>
            <w:proofErr w:type="spellEnd"/>
          </w:p>
        </w:tc>
        <w:tc>
          <w:tcPr>
            <w:tcW w:w="1361" w:type="dxa"/>
            <w:noWrap/>
            <w:hideMark/>
          </w:tcPr>
          <w:p w14:paraId="62E9D5F2" w14:textId="77777777" w:rsidR="005F4083" w:rsidRPr="005F4083" w:rsidRDefault="005F4083" w:rsidP="005F40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2"/>
                <w:lang w:eastAsia="en-GB"/>
              </w:rPr>
            </w:pPr>
            <w:r w:rsidRPr="005F4083">
              <w:rPr>
                <w:rFonts w:ascii="Calibri" w:eastAsia="Times New Roman" w:hAnsi="Calibri" w:cs="Times New Roman"/>
                <w:b/>
                <w:color w:val="000000"/>
                <w:sz w:val="22"/>
                <w:lang w:eastAsia="en-GB"/>
              </w:rPr>
              <w:t>%</w:t>
            </w:r>
            <w:proofErr w:type="spellStart"/>
            <w:r w:rsidRPr="005F4083">
              <w:rPr>
                <w:rFonts w:ascii="Calibri" w:eastAsia="Times New Roman" w:hAnsi="Calibri" w:cs="Times New Roman"/>
                <w:b/>
                <w:color w:val="000000"/>
                <w:sz w:val="22"/>
                <w:lang w:eastAsia="en-GB"/>
              </w:rPr>
              <w:t>evar</w:t>
            </w:r>
            <w:proofErr w:type="spellEnd"/>
          </w:p>
        </w:tc>
      </w:tr>
      <w:tr w:rsidR="005F4083" w:rsidRPr="005F4083" w14:paraId="0BF3411F" w14:textId="77777777" w:rsidTr="005F4083">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18108BE" w14:textId="77777777" w:rsidR="005F4083" w:rsidRPr="005F4083" w:rsidRDefault="005F4083" w:rsidP="005F4083">
            <w:pPr>
              <w:jc w:val="right"/>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200607</w:t>
            </w:r>
          </w:p>
        </w:tc>
        <w:tc>
          <w:tcPr>
            <w:tcW w:w="1361" w:type="dxa"/>
            <w:noWrap/>
            <w:hideMark/>
          </w:tcPr>
          <w:p w14:paraId="4E391B64"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665</w:t>
            </w:r>
          </w:p>
        </w:tc>
        <w:tc>
          <w:tcPr>
            <w:tcW w:w="1361" w:type="dxa"/>
            <w:noWrap/>
            <w:hideMark/>
          </w:tcPr>
          <w:p w14:paraId="7FDCB845"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27</w:t>
            </w:r>
          </w:p>
        </w:tc>
        <w:tc>
          <w:tcPr>
            <w:tcW w:w="1361" w:type="dxa"/>
            <w:noWrap/>
            <w:hideMark/>
          </w:tcPr>
          <w:p w14:paraId="51963EC7"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4%</w:t>
            </w:r>
          </w:p>
        </w:tc>
      </w:tr>
      <w:tr w:rsidR="005F4083" w:rsidRPr="005F4083" w14:paraId="4B529BC5" w14:textId="77777777" w:rsidTr="005F40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E15FA29" w14:textId="77777777" w:rsidR="005F4083" w:rsidRPr="005F4083" w:rsidRDefault="005F4083" w:rsidP="005F4083">
            <w:pPr>
              <w:jc w:val="right"/>
              <w:rPr>
                <w:rFonts w:ascii="Calibri" w:eastAsia="Times New Roman" w:hAnsi="Calibri" w:cs="Times New Roman"/>
                <w:color w:val="FF0000"/>
                <w:sz w:val="22"/>
                <w:lang w:eastAsia="en-GB"/>
              </w:rPr>
            </w:pPr>
            <w:r w:rsidRPr="005F4083">
              <w:rPr>
                <w:rFonts w:ascii="Calibri" w:eastAsia="Times New Roman" w:hAnsi="Calibri" w:cs="Times New Roman"/>
                <w:color w:val="FF0000"/>
                <w:sz w:val="22"/>
                <w:lang w:eastAsia="en-GB"/>
              </w:rPr>
              <w:t>200708</w:t>
            </w:r>
          </w:p>
        </w:tc>
        <w:tc>
          <w:tcPr>
            <w:tcW w:w="1361" w:type="dxa"/>
            <w:noWrap/>
            <w:hideMark/>
          </w:tcPr>
          <w:p w14:paraId="7C2ABDB3"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704</w:t>
            </w:r>
          </w:p>
        </w:tc>
        <w:tc>
          <w:tcPr>
            <w:tcW w:w="1361" w:type="dxa"/>
            <w:noWrap/>
            <w:hideMark/>
          </w:tcPr>
          <w:p w14:paraId="0EBC6ED2"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119</w:t>
            </w:r>
          </w:p>
        </w:tc>
        <w:tc>
          <w:tcPr>
            <w:tcW w:w="1361" w:type="dxa"/>
            <w:noWrap/>
            <w:hideMark/>
          </w:tcPr>
          <w:p w14:paraId="6DF42C41"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17%</w:t>
            </w:r>
          </w:p>
        </w:tc>
      </w:tr>
      <w:tr w:rsidR="005F4083" w:rsidRPr="005F4083" w14:paraId="5B8858BF" w14:textId="77777777" w:rsidTr="005F4083">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2EAC9C" w14:textId="77777777" w:rsidR="005F4083" w:rsidRPr="005F4083" w:rsidRDefault="005F4083" w:rsidP="005F4083">
            <w:pPr>
              <w:jc w:val="right"/>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200809</w:t>
            </w:r>
          </w:p>
        </w:tc>
        <w:tc>
          <w:tcPr>
            <w:tcW w:w="1361" w:type="dxa"/>
            <w:noWrap/>
            <w:hideMark/>
          </w:tcPr>
          <w:p w14:paraId="08A0A090"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694</w:t>
            </w:r>
          </w:p>
        </w:tc>
        <w:tc>
          <w:tcPr>
            <w:tcW w:w="1361" w:type="dxa"/>
            <w:noWrap/>
            <w:hideMark/>
          </w:tcPr>
          <w:p w14:paraId="153C5728"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188</w:t>
            </w:r>
          </w:p>
        </w:tc>
        <w:tc>
          <w:tcPr>
            <w:tcW w:w="1361" w:type="dxa"/>
            <w:noWrap/>
            <w:hideMark/>
          </w:tcPr>
          <w:p w14:paraId="46E85EC4"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27%</w:t>
            </w:r>
          </w:p>
        </w:tc>
      </w:tr>
      <w:tr w:rsidR="005F4083" w:rsidRPr="005F4083" w14:paraId="6354121F" w14:textId="77777777" w:rsidTr="005F40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C18589" w14:textId="77777777" w:rsidR="005F4083" w:rsidRPr="005F4083" w:rsidRDefault="005F4083" w:rsidP="005F4083">
            <w:pPr>
              <w:jc w:val="right"/>
              <w:rPr>
                <w:rFonts w:ascii="Calibri" w:eastAsia="Times New Roman" w:hAnsi="Calibri" w:cs="Times New Roman"/>
                <w:color w:val="FF0000"/>
                <w:sz w:val="22"/>
                <w:lang w:eastAsia="en-GB"/>
              </w:rPr>
            </w:pPr>
            <w:r w:rsidRPr="005F4083">
              <w:rPr>
                <w:rFonts w:ascii="Calibri" w:eastAsia="Times New Roman" w:hAnsi="Calibri" w:cs="Times New Roman"/>
                <w:color w:val="FF0000"/>
                <w:sz w:val="22"/>
                <w:lang w:eastAsia="en-GB"/>
              </w:rPr>
              <w:t>200910</w:t>
            </w:r>
          </w:p>
        </w:tc>
        <w:tc>
          <w:tcPr>
            <w:tcW w:w="1361" w:type="dxa"/>
            <w:noWrap/>
            <w:hideMark/>
          </w:tcPr>
          <w:p w14:paraId="532C8CB2"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637</w:t>
            </w:r>
          </w:p>
        </w:tc>
        <w:tc>
          <w:tcPr>
            <w:tcW w:w="1361" w:type="dxa"/>
            <w:noWrap/>
            <w:hideMark/>
          </w:tcPr>
          <w:p w14:paraId="6F1E5DC8"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196</w:t>
            </w:r>
          </w:p>
        </w:tc>
        <w:tc>
          <w:tcPr>
            <w:tcW w:w="1361" w:type="dxa"/>
            <w:noWrap/>
            <w:hideMark/>
          </w:tcPr>
          <w:p w14:paraId="7B00A8AE"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31%</w:t>
            </w:r>
          </w:p>
        </w:tc>
      </w:tr>
      <w:tr w:rsidR="005F4083" w:rsidRPr="005F4083" w14:paraId="177F9D1C" w14:textId="77777777" w:rsidTr="005F4083">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48134B" w14:textId="77777777" w:rsidR="005F4083" w:rsidRPr="005F4083" w:rsidRDefault="005F4083" w:rsidP="005F4083">
            <w:pPr>
              <w:jc w:val="right"/>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201011</w:t>
            </w:r>
          </w:p>
        </w:tc>
        <w:tc>
          <w:tcPr>
            <w:tcW w:w="1361" w:type="dxa"/>
            <w:noWrap/>
            <w:hideMark/>
          </w:tcPr>
          <w:p w14:paraId="0718EA88"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630</w:t>
            </w:r>
          </w:p>
        </w:tc>
        <w:tc>
          <w:tcPr>
            <w:tcW w:w="1361" w:type="dxa"/>
            <w:noWrap/>
            <w:hideMark/>
          </w:tcPr>
          <w:p w14:paraId="61EA256B"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238</w:t>
            </w:r>
          </w:p>
        </w:tc>
        <w:tc>
          <w:tcPr>
            <w:tcW w:w="1361" w:type="dxa"/>
            <w:noWrap/>
            <w:hideMark/>
          </w:tcPr>
          <w:p w14:paraId="6EAA54AF"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38%</w:t>
            </w:r>
          </w:p>
        </w:tc>
      </w:tr>
      <w:tr w:rsidR="005F4083" w:rsidRPr="005F4083" w14:paraId="2AB5AE66" w14:textId="77777777" w:rsidTr="005F40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BB056E" w14:textId="77777777" w:rsidR="005F4083" w:rsidRPr="005F4083" w:rsidRDefault="005F4083" w:rsidP="005F4083">
            <w:pPr>
              <w:jc w:val="right"/>
              <w:rPr>
                <w:rFonts w:ascii="Calibri" w:eastAsia="Times New Roman" w:hAnsi="Calibri" w:cs="Times New Roman"/>
                <w:color w:val="FF0000"/>
                <w:sz w:val="22"/>
                <w:lang w:eastAsia="en-GB"/>
              </w:rPr>
            </w:pPr>
            <w:r w:rsidRPr="005F4083">
              <w:rPr>
                <w:rFonts w:ascii="Calibri" w:eastAsia="Times New Roman" w:hAnsi="Calibri" w:cs="Times New Roman"/>
                <w:color w:val="FF0000"/>
                <w:sz w:val="22"/>
                <w:lang w:eastAsia="en-GB"/>
              </w:rPr>
              <w:t>201112</w:t>
            </w:r>
          </w:p>
        </w:tc>
        <w:tc>
          <w:tcPr>
            <w:tcW w:w="1361" w:type="dxa"/>
            <w:noWrap/>
            <w:hideMark/>
          </w:tcPr>
          <w:p w14:paraId="42CC00A9"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671</w:t>
            </w:r>
          </w:p>
        </w:tc>
        <w:tc>
          <w:tcPr>
            <w:tcW w:w="1361" w:type="dxa"/>
            <w:noWrap/>
            <w:hideMark/>
          </w:tcPr>
          <w:p w14:paraId="274239F9"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286</w:t>
            </w:r>
          </w:p>
        </w:tc>
        <w:tc>
          <w:tcPr>
            <w:tcW w:w="1361" w:type="dxa"/>
            <w:noWrap/>
            <w:hideMark/>
          </w:tcPr>
          <w:p w14:paraId="32B6D27C"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43%</w:t>
            </w:r>
          </w:p>
        </w:tc>
      </w:tr>
      <w:tr w:rsidR="005F4083" w:rsidRPr="005F4083" w14:paraId="10BC3C42" w14:textId="77777777" w:rsidTr="005F4083">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6F0403F" w14:textId="77777777" w:rsidR="005F4083" w:rsidRPr="005F4083" w:rsidRDefault="005F4083" w:rsidP="005F4083">
            <w:pPr>
              <w:jc w:val="right"/>
              <w:rPr>
                <w:rFonts w:ascii="Calibri" w:eastAsia="Times New Roman" w:hAnsi="Calibri" w:cs="Times New Roman"/>
                <w:color w:val="FF0000"/>
                <w:sz w:val="22"/>
                <w:lang w:eastAsia="en-GB"/>
              </w:rPr>
            </w:pPr>
            <w:r w:rsidRPr="005F4083">
              <w:rPr>
                <w:rFonts w:ascii="Calibri" w:eastAsia="Times New Roman" w:hAnsi="Calibri" w:cs="Times New Roman"/>
                <w:color w:val="FF0000"/>
                <w:sz w:val="22"/>
                <w:lang w:eastAsia="en-GB"/>
              </w:rPr>
              <w:t>201213</w:t>
            </w:r>
          </w:p>
        </w:tc>
        <w:tc>
          <w:tcPr>
            <w:tcW w:w="1361" w:type="dxa"/>
            <w:noWrap/>
            <w:hideMark/>
          </w:tcPr>
          <w:p w14:paraId="19DD656A"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612</w:t>
            </w:r>
          </w:p>
        </w:tc>
        <w:tc>
          <w:tcPr>
            <w:tcW w:w="1361" w:type="dxa"/>
            <w:noWrap/>
            <w:hideMark/>
          </w:tcPr>
          <w:p w14:paraId="5D8853A5"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262</w:t>
            </w:r>
          </w:p>
        </w:tc>
        <w:tc>
          <w:tcPr>
            <w:tcW w:w="1361" w:type="dxa"/>
            <w:noWrap/>
            <w:hideMark/>
          </w:tcPr>
          <w:p w14:paraId="51FDCD5D"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43%</w:t>
            </w:r>
          </w:p>
        </w:tc>
      </w:tr>
      <w:tr w:rsidR="005F4083" w:rsidRPr="005F4083" w14:paraId="7B5EEC14" w14:textId="77777777" w:rsidTr="005F40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06070CB" w14:textId="77777777" w:rsidR="005F4083" w:rsidRPr="005F4083" w:rsidRDefault="005F4083" w:rsidP="005F4083">
            <w:pPr>
              <w:jc w:val="right"/>
              <w:rPr>
                <w:rFonts w:ascii="Calibri" w:eastAsia="Times New Roman" w:hAnsi="Calibri" w:cs="Times New Roman"/>
                <w:color w:val="FF0000"/>
                <w:sz w:val="22"/>
                <w:lang w:eastAsia="en-GB"/>
              </w:rPr>
            </w:pPr>
            <w:r w:rsidRPr="005F4083">
              <w:rPr>
                <w:rFonts w:ascii="Calibri" w:eastAsia="Times New Roman" w:hAnsi="Calibri" w:cs="Times New Roman"/>
                <w:color w:val="FF0000"/>
                <w:sz w:val="22"/>
                <w:lang w:eastAsia="en-GB"/>
              </w:rPr>
              <w:t>201314</w:t>
            </w:r>
          </w:p>
        </w:tc>
        <w:tc>
          <w:tcPr>
            <w:tcW w:w="1361" w:type="dxa"/>
            <w:noWrap/>
            <w:hideMark/>
          </w:tcPr>
          <w:p w14:paraId="2ED3D3CB"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684</w:t>
            </w:r>
          </w:p>
        </w:tc>
        <w:tc>
          <w:tcPr>
            <w:tcW w:w="1361" w:type="dxa"/>
            <w:noWrap/>
            <w:hideMark/>
          </w:tcPr>
          <w:p w14:paraId="0F70E77E"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294</w:t>
            </w:r>
          </w:p>
        </w:tc>
        <w:tc>
          <w:tcPr>
            <w:tcW w:w="1361" w:type="dxa"/>
            <w:noWrap/>
            <w:hideMark/>
          </w:tcPr>
          <w:p w14:paraId="796D90F4"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43%</w:t>
            </w:r>
          </w:p>
        </w:tc>
      </w:tr>
      <w:tr w:rsidR="005F4083" w:rsidRPr="005F4083" w14:paraId="61F91882" w14:textId="77777777" w:rsidTr="005F4083">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393BCD2" w14:textId="77777777" w:rsidR="005F4083" w:rsidRPr="005F4083" w:rsidRDefault="005F4083" w:rsidP="005F4083">
            <w:pPr>
              <w:jc w:val="right"/>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201415</w:t>
            </w:r>
          </w:p>
        </w:tc>
        <w:tc>
          <w:tcPr>
            <w:tcW w:w="1361" w:type="dxa"/>
            <w:noWrap/>
            <w:hideMark/>
          </w:tcPr>
          <w:p w14:paraId="55BF7A03"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678</w:t>
            </w:r>
          </w:p>
        </w:tc>
        <w:tc>
          <w:tcPr>
            <w:tcW w:w="1361" w:type="dxa"/>
            <w:noWrap/>
            <w:hideMark/>
          </w:tcPr>
          <w:p w14:paraId="2DB8A7FF"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318</w:t>
            </w:r>
          </w:p>
        </w:tc>
        <w:tc>
          <w:tcPr>
            <w:tcW w:w="1361" w:type="dxa"/>
            <w:noWrap/>
            <w:hideMark/>
          </w:tcPr>
          <w:p w14:paraId="2011B27D"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47%</w:t>
            </w:r>
          </w:p>
        </w:tc>
      </w:tr>
      <w:tr w:rsidR="005F4083" w:rsidRPr="005F4083" w14:paraId="22897BB4" w14:textId="77777777" w:rsidTr="005F40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2E2EC9" w14:textId="77777777" w:rsidR="005F4083" w:rsidRPr="005F4083" w:rsidRDefault="005F4083" w:rsidP="005F4083">
            <w:pPr>
              <w:jc w:val="right"/>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201516</w:t>
            </w:r>
          </w:p>
        </w:tc>
        <w:tc>
          <w:tcPr>
            <w:tcW w:w="1361" w:type="dxa"/>
            <w:noWrap/>
            <w:hideMark/>
          </w:tcPr>
          <w:p w14:paraId="02C59CA8"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659</w:t>
            </w:r>
          </w:p>
        </w:tc>
        <w:tc>
          <w:tcPr>
            <w:tcW w:w="1361" w:type="dxa"/>
            <w:noWrap/>
            <w:hideMark/>
          </w:tcPr>
          <w:p w14:paraId="72177F04"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334</w:t>
            </w:r>
          </w:p>
        </w:tc>
        <w:tc>
          <w:tcPr>
            <w:tcW w:w="1361" w:type="dxa"/>
            <w:noWrap/>
            <w:hideMark/>
          </w:tcPr>
          <w:p w14:paraId="0A70C02F"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51%</w:t>
            </w:r>
          </w:p>
        </w:tc>
      </w:tr>
      <w:tr w:rsidR="005F4083" w:rsidRPr="005F4083" w14:paraId="613DBB18" w14:textId="77777777" w:rsidTr="005F4083">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F5B7DD0" w14:textId="77777777" w:rsidR="005F4083" w:rsidRPr="005F4083" w:rsidRDefault="005F4083" w:rsidP="005F4083">
            <w:pPr>
              <w:jc w:val="right"/>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201617</w:t>
            </w:r>
          </w:p>
        </w:tc>
        <w:tc>
          <w:tcPr>
            <w:tcW w:w="1361" w:type="dxa"/>
            <w:noWrap/>
            <w:hideMark/>
          </w:tcPr>
          <w:p w14:paraId="43F64ABC"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608</w:t>
            </w:r>
          </w:p>
        </w:tc>
        <w:tc>
          <w:tcPr>
            <w:tcW w:w="1361" w:type="dxa"/>
            <w:noWrap/>
            <w:hideMark/>
          </w:tcPr>
          <w:p w14:paraId="5A9DF4A6"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315</w:t>
            </w:r>
          </w:p>
        </w:tc>
        <w:tc>
          <w:tcPr>
            <w:tcW w:w="1361" w:type="dxa"/>
            <w:noWrap/>
            <w:hideMark/>
          </w:tcPr>
          <w:p w14:paraId="78BF62C9" w14:textId="77777777" w:rsidR="005F4083" w:rsidRPr="005F4083" w:rsidRDefault="005F4083" w:rsidP="005F408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52%</w:t>
            </w:r>
          </w:p>
        </w:tc>
      </w:tr>
      <w:tr w:rsidR="005F4083" w:rsidRPr="005F4083" w14:paraId="2740D370" w14:textId="77777777" w:rsidTr="005F40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3F6E26" w14:textId="77777777" w:rsidR="005F4083" w:rsidRPr="005F4083" w:rsidRDefault="005F4083" w:rsidP="005F4083">
            <w:pPr>
              <w:jc w:val="right"/>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201718</w:t>
            </w:r>
          </w:p>
        </w:tc>
        <w:tc>
          <w:tcPr>
            <w:tcW w:w="1361" w:type="dxa"/>
            <w:noWrap/>
            <w:hideMark/>
          </w:tcPr>
          <w:p w14:paraId="547166E5"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602</w:t>
            </w:r>
          </w:p>
        </w:tc>
        <w:tc>
          <w:tcPr>
            <w:tcW w:w="1361" w:type="dxa"/>
            <w:noWrap/>
            <w:hideMark/>
          </w:tcPr>
          <w:p w14:paraId="1D8536C9"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315</w:t>
            </w:r>
          </w:p>
        </w:tc>
        <w:tc>
          <w:tcPr>
            <w:tcW w:w="1361" w:type="dxa"/>
            <w:noWrap/>
            <w:hideMark/>
          </w:tcPr>
          <w:p w14:paraId="1A937D76" w14:textId="77777777" w:rsidR="005F4083" w:rsidRPr="005F4083" w:rsidRDefault="005F4083" w:rsidP="005F408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n-GB"/>
              </w:rPr>
            </w:pPr>
            <w:r w:rsidRPr="005F4083">
              <w:rPr>
                <w:rFonts w:ascii="Calibri" w:eastAsia="Times New Roman" w:hAnsi="Calibri" w:cs="Times New Roman"/>
                <w:color w:val="000000"/>
                <w:sz w:val="22"/>
                <w:lang w:eastAsia="en-GB"/>
              </w:rPr>
              <w:t>52%</w:t>
            </w:r>
          </w:p>
        </w:tc>
      </w:tr>
    </w:tbl>
    <w:p w14:paraId="7CFC32AC" w14:textId="77777777" w:rsidR="00E61BC2" w:rsidRDefault="00E61BC2" w:rsidP="00314BBC">
      <w:pPr>
        <w:spacing w:line="360" w:lineRule="auto"/>
        <w:jc w:val="both"/>
      </w:pPr>
    </w:p>
    <w:p w14:paraId="7230D928" w14:textId="77777777" w:rsidR="00314BBC" w:rsidRDefault="00314BBC" w:rsidP="00314BBC">
      <w:pPr>
        <w:spacing w:line="360" w:lineRule="auto"/>
        <w:jc w:val="both"/>
      </w:pPr>
      <w:r>
        <w:t xml:space="preserve">There was a general increasing trend of the proportion of EVAR in the region between 200607 and 201718 (from 4% in 200607 to 52% in 201718). However, it seems that this increasing trend is more likely due to changes in practice rather than an effect of service reconfigurations. For example, the proportion of EVAR remains the same between 201112 and 201314 despite the closure of the Airedale, NE Lincolnshire and Wakefield sites.  </w:t>
      </w:r>
    </w:p>
    <w:p w14:paraId="5707CA4B" w14:textId="77777777" w:rsidR="00314BBC" w:rsidRDefault="00314BBC" w:rsidP="00314BBC"/>
    <w:p w14:paraId="60E87556" w14:textId="77777777" w:rsidR="00E61BC2" w:rsidRDefault="00E61BC2" w:rsidP="00314BBC"/>
    <w:p w14:paraId="50EA5921" w14:textId="77777777" w:rsidR="00DB5FE5" w:rsidRDefault="00E61BC2" w:rsidP="00392753">
      <w:pPr>
        <w:pStyle w:val="ListParagraph"/>
        <w:numPr>
          <w:ilvl w:val="0"/>
          <w:numId w:val="7"/>
        </w:numPr>
      </w:pPr>
      <w:r>
        <w:lastRenderedPageBreak/>
        <w:t xml:space="preserve">CONCLUSIONS </w:t>
      </w:r>
    </w:p>
    <w:p w14:paraId="496A2E9D" w14:textId="77777777" w:rsidR="004C390F" w:rsidRDefault="00E61BC2" w:rsidP="00E61BC2">
      <w:pPr>
        <w:spacing w:line="360" w:lineRule="auto"/>
        <w:jc w:val="both"/>
      </w:pPr>
      <w:r>
        <w:t>From the HES data analysis, we</w:t>
      </w:r>
      <w:r w:rsidR="007240CB">
        <w:t xml:space="preserve"> could accurately identify when and where service reconfiguration took place (which site was closed and where its patients went to after the closure)</w:t>
      </w:r>
      <w:r w:rsidR="004C390F">
        <w:t xml:space="preserve"> and what was the impact on workload and patient travel patterns. </w:t>
      </w:r>
    </w:p>
    <w:p w14:paraId="098B1EE5" w14:textId="77777777" w:rsidR="00E61BC2" w:rsidRDefault="00E61BC2" w:rsidP="00E61BC2">
      <w:pPr>
        <w:spacing w:line="360" w:lineRule="auto"/>
        <w:jc w:val="both"/>
      </w:pPr>
      <w:r>
        <w:t>It was observed that the patients often go to their nearest available site; and that service reconfiguration does not seem to increase the proportion of EVAR repair.</w:t>
      </w:r>
    </w:p>
    <w:p w14:paraId="392CF336" w14:textId="77777777" w:rsidR="00E61BC2" w:rsidRDefault="004C390F" w:rsidP="00E61BC2">
      <w:pPr>
        <w:spacing w:line="360" w:lineRule="auto"/>
        <w:jc w:val="both"/>
      </w:pPr>
      <w:r>
        <w:t xml:space="preserve">However, </w:t>
      </w:r>
      <w:r w:rsidR="007240CB">
        <w:t xml:space="preserve">it is </w:t>
      </w:r>
      <w:r w:rsidR="00E61BC2">
        <w:t>difficult</w:t>
      </w:r>
      <w:r w:rsidR="007240CB">
        <w:t xml:space="preserve"> to </w:t>
      </w:r>
      <w:r w:rsidR="00E61BC2">
        <w:t>attribute</w:t>
      </w:r>
      <w:r w:rsidR="007240CB">
        <w:t xml:space="preserve"> the impacts of service reconf</w:t>
      </w:r>
      <w:r>
        <w:t>iguration on other outcomes including in-hospital outcomes and long-term survival.  Th</w:t>
      </w:r>
      <w:r w:rsidR="00E61BC2">
        <w:t>is is becaus</w:t>
      </w:r>
      <w:r>
        <w:t>e</w:t>
      </w:r>
      <w:r w:rsidR="00E61BC2">
        <w:t xml:space="preserve"> the</w:t>
      </w:r>
      <w:r>
        <w:t xml:space="preserve"> observed changes with outcomes could be explained by the complicated interaction of several factors besides service reconfiguration.</w:t>
      </w:r>
      <w:r w:rsidR="003424D1">
        <w:t xml:space="preserve"> </w:t>
      </w:r>
    </w:p>
    <w:p w14:paraId="0C7B250E" w14:textId="77777777" w:rsidR="00184CDE" w:rsidRPr="00DD13E4" w:rsidRDefault="00184CDE" w:rsidP="0071786E"/>
    <w:sectPr w:rsidR="00184CDE" w:rsidRPr="00DD13E4" w:rsidSect="00CF5F8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AAEC8" w14:textId="77777777" w:rsidR="00862698" w:rsidRDefault="00862698" w:rsidP="00DD13E4">
      <w:pPr>
        <w:spacing w:after="0" w:line="240" w:lineRule="auto"/>
      </w:pPr>
      <w:r>
        <w:separator/>
      </w:r>
    </w:p>
  </w:endnote>
  <w:endnote w:type="continuationSeparator" w:id="0">
    <w:p w14:paraId="41E6CC19" w14:textId="77777777" w:rsidR="00862698" w:rsidRDefault="00862698" w:rsidP="00DD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A2EEA" w14:textId="77777777" w:rsidR="00862698" w:rsidRDefault="00862698" w:rsidP="00DD13E4">
      <w:pPr>
        <w:spacing w:after="0" w:line="240" w:lineRule="auto"/>
      </w:pPr>
      <w:r>
        <w:separator/>
      </w:r>
    </w:p>
  </w:footnote>
  <w:footnote w:type="continuationSeparator" w:id="0">
    <w:p w14:paraId="0F64DB38" w14:textId="77777777" w:rsidR="00862698" w:rsidRDefault="00862698" w:rsidP="00DD1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5105D"/>
    <w:multiLevelType w:val="hybridMultilevel"/>
    <w:tmpl w:val="E06C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A20D6"/>
    <w:multiLevelType w:val="hybridMultilevel"/>
    <w:tmpl w:val="D18E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021A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C1486B"/>
    <w:multiLevelType w:val="hybridMultilevel"/>
    <w:tmpl w:val="EB7ED2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F6253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A656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F903AC"/>
    <w:multiLevelType w:val="hybridMultilevel"/>
    <w:tmpl w:val="014E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699"/>
    <w:rsid w:val="00017C43"/>
    <w:rsid w:val="00063801"/>
    <w:rsid w:val="0007780E"/>
    <w:rsid w:val="000B2D25"/>
    <w:rsid w:val="000D7C65"/>
    <w:rsid w:val="00167074"/>
    <w:rsid w:val="00176906"/>
    <w:rsid w:val="00184CDE"/>
    <w:rsid w:val="001B5B21"/>
    <w:rsid w:val="001D4890"/>
    <w:rsid w:val="001F61B5"/>
    <w:rsid w:val="00272D00"/>
    <w:rsid w:val="0029586D"/>
    <w:rsid w:val="002D4BA4"/>
    <w:rsid w:val="00314BBC"/>
    <w:rsid w:val="003342EC"/>
    <w:rsid w:val="003424D1"/>
    <w:rsid w:val="00344B61"/>
    <w:rsid w:val="00392753"/>
    <w:rsid w:val="003C1BF9"/>
    <w:rsid w:val="003F31B6"/>
    <w:rsid w:val="00415CCC"/>
    <w:rsid w:val="004333CD"/>
    <w:rsid w:val="0047755B"/>
    <w:rsid w:val="004C390F"/>
    <w:rsid w:val="0050175A"/>
    <w:rsid w:val="00524282"/>
    <w:rsid w:val="0055302F"/>
    <w:rsid w:val="00584930"/>
    <w:rsid w:val="005C3A38"/>
    <w:rsid w:val="005C4C2F"/>
    <w:rsid w:val="005D291F"/>
    <w:rsid w:val="005F4083"/>
    <w:rsid w:val="00600EF5"/>
    <w:rsid w:val="006073DB"/>
    <w:rsid w:val="00624792"/>
    <w:rsid w:val="00657146"/>
    <w:rsid w:val="00657BBA"/>
    <w:rsid w:val="006951BF"/>
    <w:rsid w:val="006B7DE1"/>
    <w:rsid w:val="007160CB"/>
    <w:rsid w:val="0071786E"/>
    <w:rsid w:val="007240CB"/>
    <w:rsid w:val="007269BD"/>
    <w:rsid w:val="00736F80"/>
    <w:rsid w:val="00750F0D"/>
    <w:rsid w:val="00756BAD"/>
    <w:rsid w:val="007B27F2"/>
    <w:rsid w:val="00862698"/>
    <w:rsid w:val="0086375C"/>
    <w:rsid w:val="008826BC"/>
    <w:rsid w:val="008B1BBB"/>
    <w:rsid w:val="00912D0B"/>
    <w:rsid w:val="00915FD6"/>
    <w:rsid w:val="009825B0"/>
    <w:rsid w:val="00A02C82"/>
    <w:rsid w:val="00A1701E"/>
    <w:rsid w:val="00A20699"/>
    <w:rsid w:val="00A208D4"/>
    <w:rsid w:val="00A27CAA"/>
    <w:rsid w:val="00A33FA4"/>
    <w:rsid w:val="00A92A57"/>
    <w:rsid w:val="00AA40BF"/>
    <w:rsid w:val="00B14C57"/>
    <w:rsid w:val="00B51E32"/>
    <w:rsid w:val="00B6162D"/>
    <w:rsid w:val="00BE2BA7"/>
    <w:rsid w:val="00C032D6"/>
    <w:rsid w:val="00C2216D"/>
    <w:rsid w:val="00CB680F"/>
    <w:rsid w:val="00CF5F80"/>
    <w:rsid w:val="00D02EED"/>
    <w:rsid w:val="00D0634B"/>
    <w:rsid w:val="00D21BD2"/>
    <w:rsid w:val="00D3544D"/>
    <w:rsid w:val="00D62968"/>
    <w:rsid w:val="00DB5FE5"/>
    <w:rsid w:val="00DD13E4"/>
    <w:rsid w:val="00E4005F"/>
    <w:rsid w:val="00E61BC2"/>
    <w:rsid w:val="00F14AF4"/>
    <w:rsid w:val="00F53CE4"/>
    <w:rsid w:val="00F75C15"/>
    <w:rsid w:val="00F91767"/>
    <w:rsid w:val="00FA71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A02C"/>
  <w15:chartTrackingRefBased/>
  <w15:docId w15:val="{E209148A-A9FA-47C3-A16D-1CB288A7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3E4"/>
  </w:style>
  <w:style w:type="paragraph" w:styleId="Footer">
    <w:name w:val="footer"/>
    <w:basedOn w:val="Normal"/>
    <w:link w:val="FooterChar"/>
    <w:uiPriority w:val="99"/>
    <w:unhideWhenUsed/>
    <w:rsid w:val="00DD1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3E4"/>
  </w:style>
  <w:style w:type="character" w:styleId="Hyperlink">
    <w:name w:val="Hyperlink"/>
    <w:basedOn w:val="DefaultParagraphFont"/>
    <w:uiPriority w:val="99"/>
    <w:unhideWhenUsed/>
    <w:rsid w:val="00DD13E4"/>
    <w:rPr>
      <w:color w:val="0563C1" w:themeColor="hyperlink"/>
      <w:u w:val="single"/>
    </w:rPr>
  </w:style>
  <w:style w:type="paragraph" w:styleId="ListParagraph">
    <w:name w:val="List Paragraph"/>
    <w:basedOn w:val="Normal"/>
    <w:link w:val="ListParagraphChar"/>
    <w:uiPriority w:val="34"/>
    <w:qFormat/>
    <w:rsid w:val="0029586D"/>
    <w:pPr>
      <w:ind w:left="720"/>
      <w:contextualSpacing/>
    </w:pPr>
  </w:style>
  <w:style w:type="table" w:styleId="TableGrid">
    <w:name w:val="Table Grid"/>
    <w:basedOn w:val="TableNormal"/>
    <w:uiPriority w:val="39"/>
    <w:rsid w:val="003C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C1B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915FD6"/>
    <w:pPr>
      <w:spacing w:after="200" w:line="240" w:lineRule="auto"/>
    </w:pPr>
    <w:rPr>
      <w:i/>
      <w:iCs/>
      <w:color w:val="44546A" w:themeColor="text2"/>
      <w:sz w:val="18"/>
      <w:szCs w:val="18"/>
    </w:rPr>
  </w:style>
  <w:style w:type="table" w:styleId="GridTable4-Accent3">
    <w:name w:val="Grid Table 4 Accent 3"/>
    <w:basedOn w:val="TableNormal"/>
    <w:uiPriority w:val="49"/>
    <w:rsid w:val="005F408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basedOn w:val="DefaultParagraphFont"/>
    <w:link w:val="ListParagraph"/>
    <w:uiPriority w:val="34"/>
    <w:locked/>
    <w:rsid w:val="00F53CE4"/>
  </w:style>
  <w:style w:type="paragraph" w:styleId="BalloonText">
    <w:name w:val="Balloon Text"/>
    <w:basedOn w:val="Normal"/>
    <w:link w:val="BalloonTextChar"/>
    <w:uiPriority w:val="99"/>
    <w:semiHidden/>
    <w:unhideWhenUsed/>
    <w:rsid w:val="00B51E32"/>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B51E32"/>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4681">
      <w:bodyDiv w:val="1"/>
      <w:marLeft w:val="0"/>
      <w:marRight w:val="0"/>
      <w:marTop w:val="0"/>
      <w:marBottom w:val="0"/>
      <w:divBdr>
        <w:top w:val="none" w:sz="0" w:space="0" w:color="auto"/>
        <w:left w:val="none" w:sz="0" w:space="0" w:color="auto"/>
        <w:bottom w:val="none" w:sz="0" w:space="0" w:color="auto"/>
        <w:right w:val="none" w:sz="0" w:space="0" w:color="auto"/>
      </w:divBdr>
    </w:div>
    <w:div w:id="720246384">
      <w:bodyDiv w:val="1"/>
      <w:marLeft w:val="0"/>
      <w:marRight w:val="0"/>
      <w:marTop w:val="0"/>
      <w:marBottom w:val="0"/>
      <w:divBdr>
        <w:top w:val="none" w:sz="0" w:space="0" w:color="auto"/>
        <w:left w:val="none" w:sz="0" w:space="0" w:color="auto"/>
        <w:bottom w:val="none" w:sz="0" w:space="0" w:color="auto"/>
        <w:right w:val="none" w:sz="0" w:space="0" w:color="auto"/>
      </w:divBdr>
    </w:div>
    <w:div w:id="1156992286">
      <w:bodyDiv w:val="1"/>
      <w:marLeft w:val="0"/>
      <w:marRight w:val="0"/>
      <w:marTop w:val="0"/>
      <w:marBottom w:val="0"/>
      <w:divBdr>
        <w:top w:val="none" w:sz="0" w:space="0" w:color="auto"/>
        <w:left w:val="none" w:sz="0" w:space="0" w:color="auto"/>
        <w:bottom w:val="none" w:sz="0" w:space="0" w:color="auto"/>
        <w:right w:val="none" w:sz="0" w:space="0" w:color="auto"/>
      </w:divBdr>
    </w:div>
    <w:div w:id="1255938892">
      <w:bodyDiv w:val="1"/>
      <w:marLeft w:val="0"/>
      <w:marRight w:val="0"/>
      <w:marTop w:val="0"/>
      <w:marBottom w:val="0"/>
      <w:divBdr>
        <w:top w:val="none" w:sz="0" w:space="0" w:color="auto"/>
        <w:left w:val="none" w:sz="0" w:space="0" w:color="auto"/>
        <w:bottom w:val="none" w:sz="0" w:space="0" w:color="auto"/>
        <w:right w:val="none" w:sz="0" w:space="0" w:color="auto"/>
      </w:divBdr>
    </w:div>
    <w:div w:id="1498880619">
      <w:bodyDiv w:val="1"/>
      <w:marLeft w:val="0"/>
      <w:marRight w:val="0"/>
      <w:marTop w:val="0"/>
      <w:marBottom w:val="0"/>
      <w:divBdr>
        <w:top w:val="none" w:sz="0" w:space="0" w:color="auto"/>
        <w:left w:val="none" w:sz="0" w:space="0" w:color="auto"/>
        <w:bottom w:val="none" w:sz="0" w:space="0" w:color="auto"/>
        <w:right w:val="none" w:sz="0" w:space="0" w:color="auto"/>
      </w:divBdr>
    </w:div>
    <w:div w:id="1618026707">
      <w:bodyDiv w:val="1"/>
      <w:marLeft w:val="0"/>
      <w:marRight w:val="0"/>
      <w:marTop w:val="0"/>
      <w:marBottom w:val="0"/>
      <w:divBdr>
        <w:top w:val="none" w:sz="0" w:space="0" w:color="auto"/>
        <w:left w:val="none" w:sz="0" w:space="0" w:color="auto"/>
        <w:bottom w:val="none" w:sz="0" w:space="0" w:color="auto"/>
        <w:right w:val="none" w:sz="0" w:space="0" w:color="auto"/>
      </w:divBdr>
    </w:div>
    <w:div w:id="1695620118">
      <w:bodyDiv w:val="1"/>
      <w:marLeft w:val="0"/>
      <w:marRight w:val="0"/>
      <w:marTop w:val="0"/>
      <w:marBottom w:val="0"/>
      <w:divBdr>
        <w:top w:val="none" w:sz="0" w:space="0" w:color="auto"/>
        <w:left w:val="none" w:sz="0" w:space="0" w:color="auto"/>
        <w:bottom w:val="none" w:sz="0" w:space="0" w:color="auto"/>
        <w:right w:val="none" w:sz="0" w:space="0" w:color="auto"/>
      </w:divBdr>
    </w:div>
    <w:div w:id="1795521692">
      <w:bodyDiv w:val="1"/>
      <w:marLeft w:val="0"/>
      <w:marRight w:val="0"/>
      <w:marTop w:val="0"/>
      <w:marBottom w:val="0"/>
      <w:divBdr>
        <w:top w:val="none" w:sz="0" w:space="0" w:color="auto"/>
        <w:left w:val="none" w:sz="0" w:space="0" w:color="auto"/>
        <w:bottom w:val="none" w:sz="0" w:space="0" w:color="auto"/>
        <w:right w:val="none" w:sz="0" w:space="0" w:color="auto"/>
      </w:divBdr>
    </w:div>
    <w:div w:id="20913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hyperlink" Target="https://www.youthworkunit.com/overview-of-the-region/" TargetMode="Externa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png"/><Relationship Id="rId30" Type="http://schemas.openxmlformats.org/officeDocument/2006/relationships/image" Target="media/image22.emf"/><Relationship Id="rId35" Type="http://schemas.openxmlformats.org/officeDocument/2006/relationships/image" Target="media/image27.emf"/><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B981-21FC-EB4E-99C7-B628E930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2783</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Thaison Tong</dc:creator>
  <cp:keywords/>
  <dc:description/>
  <cp:lastModifiedBy>Jonathan</cp:lastModifiedBy>
  <cp:revision>34</cp:revision>
  <dcterms:created xsi:type="dcterms:W3CDTF">2019-05-28T22:14:00Z</dcterms:created>
  <dcterms:modified xsi:type="dcterms:W3CDTF">2021-01-12T06:49:00Z</dcterms:modified>
</cp:coreProperties>
</file>