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A41B3" w14:textId="4D5BC56E" w:rsidR="00762816" w:rsidRDefault="00762816" w:rsidP="00762816">
      <w:pPr>
        <w:jc w:val="both"/>
        <w:rPr>
          <w:rFonts w:cs="Times New Roman"/>
          <w:b/>
        </w:rPr>
      </w:pPr>
      <w:r>
        <w:rPr>
          <w:rFonts w:cs="Times New Roman"/>
          <w:b/>
        </w:rPr>
        <w:t>Report Supplementary Materials 1</w:t>
      </w:r>
      <w:r w:rsidR="000743C1">
        <w:rPr>
          <w:rFonts w:cs="Times New Roman"/>
          <w:b/>
        </w:rPr>
        <w:t>6</w:t>
      </w:r>
    </w:p>
    <w:p w14:paraId="07FA4152" w14:textId="77777777" w:rsidR="00762816" w:rsidRDefault="00762816" w:rsidP="00EA67FE">
      <w:pPr>
        <w:jc w:val="center"/>
        <w:rPr>
          <w:b/>
          <w:sz w:val="28"/>
        </w:rPr>
      </w:pPr>
    </w:p>
    <w:p w14:paraId="09C5F807" w14:textId="2C104A2C" w:rsidR="00EA67FE" w:rsidRDefault="00EA67FE" w:rsidP="00EA67FE">
      <w:pPr>
        <w:jc w:val="center"/>
        <w:rPr>
          <w:b/>
          <w:sz w:val="28"/>
        </w:rPr>
      </w:pPr>
      <w:r>
        <w:rPr>
          <w:b/>
          <w:sz w:val="28"/>
        </w:rPr>
        <w:t xml:space="preserve">SCENARIO ANALYSIS EVALUATING THE 100-THRESHOLD RECONFIGURATION OF SERVICES </w:t>
      </w:r>
    </w:p>
    <w:p w14:paraId="549E5A4D" w14:textId="77777777" w:rsidR="00EA67FE" w:rsidRDefault="00EA67FE" w:rsidP="00EA67FE">
      <w:pPr>
        <w:spacing w:line="360" w:lineRule="auto"/>
        <w:jc w:val="both"/>
      </w:pPr>
      <w:r>
        <w:t xml:space="preserve">Based on our analysis of HES data, there was greater benefit from increasing the recommended AAA volume threshold from 60 cases per year to 100 cases per year.  Those with AAA volumes above 100 cases per year performed significantly better than the lower volumes whereas there was still considerable variation amongst those centres having AAA volume between 60 and 100 cases per year. Thus, a further scenario analysis was undertaken to consider the effect of reconfiguring vascular services to meet a threshold of 100 AAA repairs per year. Using the same methods described earlier, three decision options were specified: (1) the baseline configuration with 72 active sites in 2017/18; (2) the new configuration to meet the 60 AAA repairs threshold (move major vascular interventions from 23 sites to the remaining 49 sites compared to the baseline); and (3) the new configuration to meet the 100 AAA repairs threshold (move major vascular interventions at 34 sites to the remaining 38 sites compared to the baseline). </w:t>
      </w:r>
      <w:r>
        <w:fldChar w:fldCharType="begin"/>
      </w:r>
      <w:r>
        <w:instrText xml:space="preserve"> REF _Ref9940572 \h </w:instrText>
      </w:r>
      <w:r>
        <w:fldChar w:fldCharType="separate"/>
      </w:r>
      <w:r>
        <w:t xml:space="preserve">Figure </w:t>
      </w:r>
      <w:r>
        <w:rPr>
          <w:noProof/>
        </w:rPr>
        <w:t>1</w:t>
      </w:r>
      <w:r>
        <w:fldChar w:fldCharType="end"/>
      </w:r>
      <w:r>
        <w:t xml:space="preserve"> illustrates the AAA volume distribution in the baseline configuration, the new 60-threshold configuration and the new 100-threshold configuration. </w:t>
      </w:r>
      <w:r>
        <w:fldChar w:fldCharType="begin"/>
      </w:r>
      <w:r>
        <w:instrText xml:space="preserve"> REF _Ref9940594 \h </w:instrText>
      </w:r>
      <w:r>
        <w:fldChar w:fldCharType="separate"/>
      </w:r>
      <w:r>
        <w:t xml:space="preserve">Table </w:t>
      </w:r>
      <w:r>
        <w:rPr>
          <w:noProof/>
        </w:rPr>
        <w:t>1</w:t>
      </w:r>
      <w:r>
        <w:fldChar w:fldCharType="end"/>
      </w:r>
      <w:r>
        <w:t xml:space="preserve"> describes the changes with each region moving from the baseline configuration to the 60-threshold reconfiguration and the 100-threshold reconfiguration.   </w:t>
      </w:r>
    </w:p>
    <w:p w14:paraId="59FB1403" w14:textId="77777777" w:rsidR="00EA67FE" w:rsidRDefault="00EA67FE" w:rsidP="00EA67FE">
      <w:pPr>
        <w:pStyle w:val="Caption"/>
      </w:pPr>
      <w:bookmarkStart w:id="0" w:name="_Ref9940572"/>
      <w:r>
        <w:t xml:space="preserve">Figure </w:t>
      </w:r>
      <w:r w:rsidR="000743C1">
        <w:fldChar w:fldCharType="begin"/>
      </w:r>
      <w:r w:rsidR="000743C1">
        <w:instrText xml:space="preserve"> SEQ Figure \* ARA</w:instrText>
      </w:r>
      <w:r w:rsidR="000743C1">
        <w:instrText xml:space="preserve">BIC </w:instrText>
      </w:r>
      <w:r w:rsidR="000743C1">
        <w:fldChar w:fldCharType="separate"/>
      </w:r>
      <w:r>
        <w:rPr>
          <w:noProof/>
        </w:rPr>
        <w:t>1</w:t>
      </w:r>
      <w:r w:rsidR="000743C1">
        <w:rPr>
          <w:noProof/>
        </w:rPr>
        <w:fldChar w:fldCharType="end"/>
      </w:r>
      <w:bookmarkEnd w:id="0"/>
      <w:r>
        <w:t xml:space="preserve">: AAA volume distribution in the baseline and the new configuration </w:t>
      </w:r>
    </w:p>
    <w:p w14:paraId="103BA157" w14:textId="77777777" w:rsidR="00EA67FE" w:rsidRDefault="00EA67FE" w:rsidP="00EA67FE">
      <w:pPr>
        <w:spacing w:line="360" w:lineRule="auto"/>
        <w:jc w:val="both"/>
      </w:pPr>
      <w:r>
        <w:rPr>
          <w:noProof/>
          <w:lang w:eastAsia="en-GB"/>
        </w:rPr>
        <mc:AlternateContent>
          <mc:Choice Requires="cx1">
            <w:drawing>
              <wp:inline distT="0" distB="0" distL="0" distR="0" wp14:anchorId="4AC7A8E1" wp14:editId="68A69AC6">
                <wp:extent cx="4133850" cy="3171825"/>
                <wp:effectExtent l="0" t="0" r="0" b="9525"/>
                <wp:docPr id="33" name="Chart 33"/>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
                  </a:graphicData>
                </a:graphic>
              </wp:inline>
            </w:drawing>
          </mc:Choice>
          <mc:Fallback>
            <w:drawing>
              <wp:inline distT="0" distB="0" distL="0" distR="0" wp14:anchorId="0172ACAF" wp14:editId="27577138">
                <wp:extent cx="4133850" cy="3171825"/>
                <wp:effectExtent l="0" t="0" r="0" b="9525"/>
                <wp:docPr id="33" name="Chart 3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3" name="Chart 33"/>
                        <pic:cNvPicPr>
                          <a:picLocks noGrp="1" noRot="1" noChangeAspect="1" noMove="1" noResize="1" noEditPoints="1" noAdjustHandles="1" noChangeArrowheads="1" noChangeShapeType="1"/>
                        </pic:cNvPicPr>
                      </pic:nvPicPr>
                      <pic:blipFill>
                        <a:blip r:embed="rId6"/>
                        <a:stretch>
                          <a:fillRect/>
                        </a:stretch>
                      </pic:blipFill>
                      <pic:spPr>
                        <a:xfrm>
                          <a:off x="0" y="0"/>
                          <a:ext cx="4133850" cy="3171825"/>
                        </a:xfrm>
                        <a:prstGeom prst="rect">
                          <a:avLst/>
                        </a:prstGeom>
                      </pic:spPr>
                    </pic:pic>
                  </a:graphicData>
                </a:graphic>
              </wp:inline>
            </w:drawing>
          </mc:Fallback>
        </mc:AlternateContent>
      </w:r>
    </w:p>
    <w:p w14:paraId="5AA94FCF" w14:textId="77777777" w:rsidR="00EA67FE" w:rsidRDefault="00EA67FE" w:rsidP="00EA67FE">
      <w:pPr>
        <w:pStyle w:val="Caption"/>
      </w:pPr>
      <w:bookmarkStart w:id="1" w:name="_Ref9940594"/>
      <w:r>
        <w:lastRenderedPageBreak/>
        <w:t xml:space="preserve">Table </w:t>
      </w:r>
      <w:r w:rsidR="000743C1">
        <w:fldChar w:fldCharType="begin"/>
      </w:r>
      <w:r w:rsidR="000743C1">
        <w:instrText xml:space="preserve"> SEQ Table \* ARABIC </w:instrText>
      </w:r>
      <w:r w:rsidR="000743C1">
        <w:fldChar w:fldCharType="separate"/>
      </w:r>
      <w:r>
        <w:rPr>
          <w:noProof/>
        </w:rPr>
        <w:t>1</w:t>
      </w:r>
      <w:r w:rsidR="000743C1">
        <w:rPr>
          <w:noProof/>
        </w:rPr>
        <w:fldChar w:fldCharType="end"/>
      </w:r>
      <w:bookmarkEnd w:id="1"/>
      <w:r>
        <w:t xml:space="preserve">: Changes in each region from the reconfiguration  </w:t>
      </w:r>
    </w:p>
    <w:p w14:paraId="2C67A3CC" w14:textId="77777777" w:rsidR="00EA67FE" w:rsidRPr="009C4087" w:rsidRDefault="00EA67FE" w:rsidP="00EA67FE"/>
    <w:tbl>
      <w:tblPr>
        <w:tblW w:w="6821" w:type="dxa"/>
        <w:tblLook w:val="04A0" w:firstRow="1" w:lastRow="0" w:firstColumn="1" w:lastColumn="0" w:noHBand="0" w:noVBand="1"/>
      </w:tblPr>
      <w:tblGrid>
        <w:gridCol w:w="1900"/>
        <w:gridCol w:w="984"/>
        <w:gridCol w:w="1919"/>
        <w:gridCol w:w="2097"/>
      </w:tblGrid>
      <w:tr w:rsidR="00EA67FE" w:rsidRPr="009C4087" w14:paraId="022F25DB" w14:textId="77777777" w:rsidTr="0010736D">
        <w:trPr>
          <w:trHeight w:val="300"/>
        </w:trPr>
        <w:tc>
          <w:tcPr>
            <w:tcW w:w="1900" w:type="dxa"/>
            <w:tcBorders>
              <w:top w:val="nil"/>
              <w:left w:val="nil"/>
              <w:bottom w:val="nil"/>
              <w:right w:val="nil"/>
            </w:tcBorders>
            <w:shd w:val="clear" w:color="auto" w:fill="auto"/>
            <w:noWrap/>
            <w:vAlign w:val="bottom"/>
            <w:hideMark/>
          </w:tcPr>
          <w:p w14:paraId="1F039CA8" w14:textId="77777777" w:rsidR="00EA67FE" w:rsidRPr="009C4087" w:rsidRDefault="00EA67FE" w:rsidP="0010736D">
            <w:pPr>
              <w:spacing w:after="0" w:line="240" w:lineRule="auto"/>
              <w:rPr>
                <w:rFonts w:eastAsia="Times New Roman" w:cs="Times New Roman"/>
                <w:szCs w:val="24"/>
                <w:lang w:eastAsia="en-GB"/>
              </w:rPr>
            </w:pPr>
          </w:p>
        </w:tc>
        <w:tc>
          <w:tcPr>
            <w:tcW w:w="492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9DA0CF" w14:textId="77777777" w:rsidR="00EA67FE" w:rsidRPr="009C4087" w:rsidRDefault="00EA67FE" w:rsidP="0010736D">
            <w:pPr>
              <w:spacing w:after="0" w:line="240" w:lineRule="auto"/>
              <w:jc w:val="center"/>
              <w:rPr>
                <w:rFonts w:ascii="Calibri" w:eastAsia="Times New Roman" w:hAnsi="Calibri" w:cs="Times New Roman"/>
                <w:b/>
                <w:bCs/>
                <w:color w:val="000000"/>
                <w:sz w:val="22"/>
                <w:lang w:eastAsia="en-GB"/>
              </w:rPr>
            </w:pPr>
            <w:r w:rsidRPr="009C4087">
              <w:rPr>
                <w:rFonts w:ascii="Calibri" w:eastAsia="Times New Roman" w:hAnsi="Calibri" w:cs="Times New Roman"/>
                <w:b/>
                <w:bCs/>
                <w:color w:val="000000"/>
                <w:sz w:val="22"/>
                <w:lang w:eastAsia="en-GB"/>
              </w:rPr>
              <w:t>Active centres</w:t>
            </w:r>
          </w:p>
        </w:tc>
      </w:tr>
      <w:tr w:rsidR="00EA67FE" w:rsidRPr="009C4087" w14:paraId="0651C73C" w14:textId="77777777" w:rsidTr="0010736D">
        <w:trPr>
          <w:trHeight w:val="300"/>
        </w:trPr>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CBF150" w14:textId="77777777" w:rsidR="00EA67FE" w:rsidRPr="009C4087" w:rsidRDefault="00EA67FE" w:rsidP="0010736D">
            <w:pPr>
              <w:spacing w:after="0" w:line="240" w:lineRule="auto"/>
              <w:rPr>
                <w:rFonts w:ascii="Calibri" w:eastAsia="Times New Roman" w:hAnsi="Calibri" w:cs="Times New Roman"/>
                <w:b/>
                <w:bCs/>
                <w:color w:val="000000"/>
                <w:sz w:val="22"/>
                <w:lang w:eastAsia="en-GB"/>
              </w:rPr>
            </w:pPr>
            <w:r w:rsidRPr="009C4087">
              <w:rPr>
                <w:rFonts w:ascii="Calibri" w:eastAsia="Times New Roman" w:hAnsi="Calibri" w:cs="Times New Roman"/>
                <w:b/>
                <w:bCs/>
                <w:color w:val="000000"/>
                <w:sz w:val="22"/>
                <w:lang w:eastAsia="en-GB"/>
              </w:rPr>
              <w:t>Region</w:t>
            </w:r>
          </w:p>
        </w:tc>
        <w:tc>
          <w:tcPr>
            <w:tcW w:w="905" w:type="dxa"/>
            <w:tcBorders>
              <w:top w:val="nil"/>
              <w:left w:val="nil"/>
              <w:bottom w:val="single" w:sz="4" w:space="0" w:color="auto"/>
              <w:right w:val="single" w:sz="4" w:space="0" w:color="auto"/>
            </w:tcBorders>
            <w:shd w:val="clear" w:color="000000" w:fill="FFFFFF"/>
            <w:noWrap/>
            <w:vAlign w:val="bottom"/>
            <w:hideMark/>
          </w:tcPr>
          <w:p w14:paraId="5BF57117" w14:textId="77777777" w:rsidR="00EA67FE" w:rsidRPr="009C4087" w:rsidRDefault="00EA67FE" w:rsidP="0010736D">
            <w:pPr>
              <w:spacing w:after="0" w:line="240" w:lineRule="auto"/>
              <w:rPr>
                <w:rFonts w:ascii="Calibri" w:eastAsia="Times New Roman" w:hAnsi="Calibri" w:cs="Times New Roman"/>
                <w:b/>
                <w:bCs/>
                <w:color w:val="000000"/>
                <w:sz w:val="22"/>
                <w:lang w:eastAsia="en-GB"/>
              </w:rPr>
            </w:pPr>
            <w:r w:rsidRPr="009C4087">
              <w:rPr>
                <w:rFonts w:ascii="Calibri" w:eastAsia="Times New Roman" w:hAnsi="Calibri" w:cs="Times New Roman"/>
                <w:b/>
                <w:bCs/>
                <w:color w:val="000000"/>
                <w:sz w:val="22"/>
                <w:lang w:eastAsia="en-GB"/>
              </w:rPr>
              <w:t>Baseline</w:t>
            </w:r>
          </w:p>
        </w:tc>
        <w:tc>
          <w:tcPr>
            <w:tcW w:w="1919" w:type="dxa"/>
            <w:tcBorders>
              <w:top w:val="nil"/>
              <w:left w:val="nil"/>
              <w:bottom w:val="single" w:sz="4" w:space="0" w:color="auto"/>
              <w:right w:val="single" w:sz="4" w:space="0" w:color="auto"/>
            </w:tcBorders>
            <w:shd w:val="clear" w:color="000000" w:fill="FFFFFF"/>
            <w:noWrap/>
            <w:vAlign w:val="bottom"/>
            <w:hideMark/>
          </w:tcPr>
          <w:p w14:paraId="720066D4" w14:textId="77777777" w:rsidR="00EA67FE" w:rsidRPr="009C4087" w:rsidRDefault="00EA67FE" w:rsidP="0010736D">
            <w:pPr>
              <w:spacing w:after="0" w:line="240" w:lineRule="auto"/>
              <w:rPr>
                <w:rFonts w:ascii="Calibri" w:eastAsia="Times New Roman" w:hAnsi="Calibri" w:cs="Times New Roman"/>
                <w:b/>
                <w:bCs/>
                <w:color w:val="000000"/>
                <w:sz w:val="22"/>
                <w:lang w:eastAsia="en-GB"/>
              </w:rPr>
            </w:pPr>
            <w:r w:rsidRPr="009C4087">
              <w:rPr>
                <w:rFonts w:ascii="Calibri" w:eastAsia="Times New Roman" w:hAnsi="Calibri" w:cs="Times New Roman"/>
                <w:b/>
                <w:bCs/>
                <w:color w:val="000000"/>
                <w:sz w:val="22"/>
                <w:lang w:eastAsia="en-GB"/>
              </w:rPr>
              <w:t>New 60-threshold</w:t>
            </w:r>
          </w:p>
        </w:tc>
        <w:tc>
          <w:tcPr>
            <w:tcW w:w="2097" w:type="dxa"/>
            <w:tcBorders>
              <w:top w:val="nil"/>
              <w:left w:val="nil"/>
              <w:bottom w:val="single" w:sz="4" w:space="0" w:color="auto"/>
              <w:right w:val="single" w:sz="4" w:space="0" w:color="auto"/>
            </w:tcBorders>
            <w:shd w:val="clear" w:color="000000" w:fill="FFFFFF"/>
            <w:noWrap/>
            <w:vAlign w:val="bottom"/>
            <w:hideMark/>
          </w:tcPr>
          <w:p w14:paraId="1475CD4D" w14:textId="77777777" w:rsidR="00EA67FE" w:rsidRPr="009C4087" w:rsidRDefault="00EA67FE" w:rsidP="0010736D">
            <w:pPr>
              <w:spacing w:after="0" w:line="240" w:lineRule="auto"/>
              <w:rPr>
                <w:rFonts w:ascii="Calibri" w:eastAsia="Times New Roman" w:hAnsi="Calibri" w:cs="Times New Roman"/>
                <w:b/>
                <w:bCs/>
                <w:color w:val="000000"/>
                <w:sz w:val="22"/>
                <w:lang w:eastAsia="en-GB"/>
              </w:rPr>
            </w:pPr>
            <w:r w:rsidRPr="009C4087">
              <w:rPr>
                <w:rFonts w:ascii="Calibri" w:eastAsia="Times New Roman" w:hAnsi="Calibri" w:cs="Times New Roman"/>
                <w:b/>
                <w:bCs/>
                <w:color w:val="000000"/>
                <w:sz w:val="22"/>
                <w:lang w:eastAsia="en-GB"/>
              </w:rPr>
              <w:t>New 100_threshold</w:t>
            </w:r>
          </w:p>
        </w:tc>
      </w:tr>
      <w:tr w:rsidR="00EA67FE" w:rsidRPr="009C4087" w14:paraId="47A2DC96" w14:textId="77777777" w:rsidTr="0010736D">
        <w:trPr>
          <w:trHeight w:val="300"/>
        </w:trPr>
        <w:tc>
          <w:tcPr>
            <w:tcW w:w="1900" w:type="dxa"/>
            <w:tcBorders>
              <w:top w:val="nil"/>
              <w:left w:val="single" w:sz="4" w:space="0" w:color="auto"/>
              <w:bottom w:val="nil"/>
              <w:right w:val="single" w:sz="4" w:space="0" w:color="auto"/>
            </w:tcBorders>
            <w:shd w:val="clear" w:color="000000" w:fill="FFFFFF"/>
            <w:noWrap/>
            <w:vAlign w:val="bottom"/>
            <w:hideMark/>
          </w:tcPr>
          <w:p w14:paraId="0A550E7C" w14:textId="77777777" w:rsidR="00EA67FE" w:rsidRPr="009C4087" w:rsidRDefault="00EA67FE" w:rsidP="0010736D">
            <w:pPr>
              <w:spacing w:after="0" w:line="240" w:lineRule="auto"/>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East Midlands</w:t>
            </w:r>
          </w:p>
        </w:tc>
        <w:tc>
          <w:tcPr>
            <w:tcW w:w="905" w:type="dxa"/>
            <w:tcBorders>
              <w:top w:val="nil"/>
              <w:left w:val="nil"/>
              <w:bottom w:val="nil"/>
              <w:right w:val="single" w:sz="4" w:space="0" w:color="auto"/>
            </w:tcBorders>
            <w:shd w:val="clear" w:color="000000" w:fill="FFFFFF"/>
            <w:noWrap/>
            <w:vAlign w:val="center"/>
            <w:hideMark/>
          </w:tcPr>
          <w:p w14:paraId="7C195BAC"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6</w:t>
            </w:r>
          </w:p>
        </w:tc>
        <w:tc>
          <w:tcPr>
            <w:tcW w:w="1919" w:type="dxa"/>
            <w:tcBorders>
              <w:top w:val="nil"/>
              <w:left w:val="nil"/>
              <w:bottom w:val="nil"/>
              <w:right w:val="single" w:sz="4" w:space="0" w:color="auto"/>
            </w:tcBorders>
            <w:shd w:val="clear" w:color="000000" w:fill="FFFFFF"/>
            <w:noWrap/>
            <w:vAlign w:val="center"/>
            <w:hideMark/>
          </w:tcPr>
          <w:p w14:paraId="73DED143"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4</w:t>
            </w:r>
          </w:p>
        </w:tc>
        <w:tc>
          <w:tcPr>
            <w:tcW w:w="2097" w:type="dxa"/>
            <w:tcBorders>
              <w:top w:val="nil"/>
              <w:left w:val="nil"/>
              <w:bottom w:val="nil"/>
              <w:right w:val="single" w:sz="4" w:space="0" w:color="auto"/>
            </w:tcBorders>
            <w:shd w:val="clear" w:color="000000" w:fill="FFFFFF"/>
            <w:noWrap/>
            <w:vAlign w:val="center"/>
            <w:hideMark/>
          </w:tcPr>
          <w:p w14:paraId="460EFA3D"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3</w:t>
            </w:r>
          </w:p>
        </w:tc>
      </w:tr>
      <w:tr w:rsidR="00EA67FE" w:rsidRPr="009C4087" w14:paraId="22F26D4A" w14:textId="77777777" w:rsidTr="0010736D">
        <w:trPr>
          <w:trHeight w:val="300"/>
        </w:trPr>
        <w:tc>
          <w:tcPr>
            <w:tcW w:w="1900" w:type="dxa"/>
            <w:tcBorders>
              <w:top w:val="nil"/>
              <w:left w:val="single" w:sz="4" w:space="0" w:color="auto"/>
              <w:bottom w:val="nil"/>
              <w:right w:val="single" w:sz="4" w:space="0" w:color="auto"/>
            </w:tcBorders>
            <w:shd w:val="clear" w:color="000000" w:fill="FFFFFF"/>
            <w:noWrap/>
            <w:vAlign w:val="bottom"/>
            <w:hideMark/>
          </w:tcPr>
          <w:p w14:paraId="4DF54BF2" w14:textId="77777777" w:rsidR="00EA67FE" w:rsidRPr="009C4087" w:rsidRDefault="00EA67FE" w:rsidP="0010736D">
            <w:pPr>
              <w:spacing w:after="0" w:line="240" w:lineRule="auto"/>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East of England</w:t>
            </w:r>
          </w:p>
        </w:tc>
        <w:tc>
          <w:tcPr>
            <w:tcW w:w="905" w:type="dxa"/>
            <w:tcBorders>
              <w:top w:val="nil"/>
              <w:left w:val="nil"/>
              <w:bottom w:val="nil"/>
              <w:right w:val="single" w:sz="4" w:space="0" w:color="auto"/>
            </w:tcBorders>
            <w:shd w:val="clear" w:color="000000" w:fill="FFFFFF"/>
            <w:noWrap/>
            <w:vAlign w:val="center"/>
            <w:hideMark/>
          </w:tcPr>
          <w:p w14:paraId="566F5A81"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11</w:t>
            </w:r>
          </w:p>
        </w:tc>
        <w:tc>
          <w:tcPr>
            <w:tcW w:w="1919" w:type="dxa"/>
            <w:tcBorders>
              <w:top w:val="nil"/>
              <w:left w:val="nil"/>
              <w:bottom w:val="nil"/>
              <w:right w:val="single" w:sz="4" w:space="0" w:color="auto"/>
            </w:tcBorders>
            <w:shd w:val="clear" w:color="000000" w:fill="FFFFFF"/>
            <w:noWrap/>
            <w:vAlign w:val="center"/>
            <w:hideMark/>
          </w:tcPr>
          <w:p w14:paraId="08EFEDAB"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7</w:t>
            </w:r>
          </w:p>
        </w:tc>
        <w:tc>
          <w:tcPr>
            <w:tcW w:w="2097" w:type="dxa"/>
            <w:tcBorders>
              <w:top w:val="nil"/>
              <w:left w:val="nil"/>
              <w:bottom w:val="nil"/>
              <w:right w:val="single" w:sz="4" w:space="0" w:color="auto"/>
            </w:tcBorders>
            <w:shd w:val="clear" w:color="000000" w:fill="FFFFFF"/>
            <w:noWrap/>
            <w:vAlign w:val="center"/>
            <w:hideMark/>
          </w:tcPr>
          <w:p w14:paraId="777D74B0"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6</w:t>
            </w:r>
          </w:p>
        </w:tc>
      </w:tr>
      <w:tr w:rsidR="00EA67FE" w:rsidRPr="009C4087" w14:paraId="10CEB29C" w14:textId="77777777" w:rsidTr="0010736D">
        <w:trPr>
          <w:trHeight w:val="300"/>
        </w:trPr>
        <w:tc>
          <w:tcPr>
            <w:tcW w:w="1900" w:type="dxa"/>
            <w:tcBorders>
              <w:top w:val="nil"/>
              <w:left w:val="single" w:sz="4" w:space="0" w:color="auto"/>
              <w:bottom w:val="nil"/>
              <w:right w:val="single" w:sz="4" w:space="0" w:color="auto"/>
            </w:tcBorders>
            <w:shd w:val="clear" w:color="000000" w:fill="FFFFFF"/>
            <w:noWrap/>
            <w:vAlign w:val="bottom"/>
            <w:hideMark/>
          </w:tcPr>
          <w:p w14:paraId="49577258" w14:textId="77777777" w:rsidR="00EA67FE" w:rsidRPr="009C4087" w:rsidRDefault="00EA67FE" w:rsidP="0010736D">
            <w:pPr>
              <w:spacing w:after="0" w:line="240" w:lineRule="auto"/>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London</w:t>
            </w:r>
          </w:p>
        </w:tc>
        <w:tc>
          <w:tcPr>
            <w:tcW w:w="905" w:type="dxa"/>
            <w:tcBorders>
              <w:top w:val="nil"/>
              <w:left w:val="nil"/>
              <w:bottom w:val="nil"/>
              <w:right w:val="single" w:sz="4" w:space="0" w:color="auto"/>
            </w:tcBorders>
            <w:shd w:val="clear" w:color="000000" w:fill="FFFFFF"/>
            <w:noWrap/>
            <w:vAlign w:val="center"/>
            <w:hideMark/>
          </w:tcPr>
          <w:p w14:paraId="3ACA783B"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11</w:t>
            </w:r>
          </w:p>
        </w:tc>
        <w:tc>
          <w:tcPr>
            <w:tcW w:w="1919" w:type="dxa"/>
            <w:tcBorders>
              <w:top w:val="nil"/>
              <w:left w:val="nil"/>
              <w:bottom w:val="nil"/>
              <w:right w:val="single" w:sz="4" w:space="0" w:color="auto"/>
            </w:tcBorders>
            <w:shd w:val="clear" w:color="000000" w:fill="FFFFFF"/>
            <w:noWrap/>
            <w:vAlign w:val="center"/>
            <w:hideMark/>
          </w:tcPr>
          <w:p w14:paraId="0473363F"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5</w:t>
            </w:r>
          </w:p>
        </w:tc>
        <w:tc>
          <w:tcPr>
            <w:tcW w:w="2097" w:type="dxa"/>
            <w:tcBorders>
              <w:top w:val="nil"/>
              <w:left w:val="nil"/>
              <w:bottom w:val="nil"/>
              <w:right w:val="single" w:sz="4" w:space="0" w:color="auto"/>
            </w:tcBorders>
            <w:shd w:val="clear" w:color="000000" w:fill="FFFFFF"/>
            <w:noWrap/>
            <w:vAlign w:val="center"/>
            <w:hideMark/>
          </w:tcPr>
          <w:p w14:paraId="52F4B4F3"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5</w:t>
            </w:r>
          </w:p>
        </w:tc>
      </w:tr>
      <w:tr w:rsidR="00EA67FE" w:rsidRPr="009C4087" w14:paraId="2A7437AE" w14:textId="77777777" w:rsidTr="0010736D">
        <w:trPr>
          <w:trHeight w:val="300"/>
        </w:trPr>
        <w:tc>
          <w:tcPr>
            <w:tcW w:w="1900" w:type="dxa"/>
            <w:tcBorders>
              <w:top w:val="nil"/>
              <w:left w:val="single" w:sz="4" w:space="0" w:color="auto"/>
              <w:bottom w:val="nil"/>
              <w:right w:val="single" w:sz="4" w:space="0" w:color="auto"/>
            </w:tcBorders>
            <w:shd w:val="clear" w:color="000000" w:fill="FFFFFF"/>
            <w:noWrap/>
            <w:vAlign w:val="bottom"/>
            <w:hideMark/>
          </w:tcPr>
          <w:p w14:paraId="64A6C676" w14:textId="77777777" w:rsidR="00EA67FE" w:rsidRPr="009C4087" w:rsidRDefault="00EA67FE" w:rsidP="0010736D">
            <w:pPr>
              <w:spacing w:after="0" w:line="240" w:lineRule="auto"/>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North East</w:t>
            </w:r>
          </w:p>
        </w:tc>
        <w:tc>
          <w:tcPr>
            <w:tcW w:w="905" w:type="dxa"/>
            <w:tcBorders>
              <w:top w:val="nil"/>
              <w:left w:val="nil"/>
              <w:bottom w:val="nil"/>
              <w:right w:val="single" w:sz="4" w:space="0" w:color="auto"/>
            </w:tcBorders>
            <w:shd w:val="clear" w:color="000000" w:fill="FFFFFF"/>
            <w:noWrap/>
            <w:vAlign w:val="center"/>
            <w:hideMark/>
          </w:tcPr>
          <w:p w14:paraId="6D189B1E"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4</w:t>
            </w:r>
          </w:p>
        </w:tc>
        <w:tc>
          <w:tcPr>
            <w:tcW w:w="1919" w:type="dxa"/>
            <w:tcBorders>
              <w:top w:val="nil"/>
              <w:left w:val="nil"/>
              <w:bottom w:val="nil"/>
              <w:right w:val="single" w:sz="4" w:space="0" w:color="auto"/>
            </w:tcBorders>
            <w:shd w:val="clear" w:color="000000" w:fill="FFFFFF"/>
            <w:noWrap/>
            <w:vAlign w:val="center"/>
            <w:hideMark/>
          </w:tcPr>
          <w:p w14:paraId="6403D092"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3</w:t>
            </w:r>
          </w:p>
        </w:tc>
        <w:tc>
          <w:tcPr>
            <w:tcW w:w="2097" w:type="dxa"/>
            <w:tcBorders>
              <w:top w:val="nil"/>
              <w:left w:val="nil"/>
              <w:bottom w:val="nil"/>
              <w:right w:val="single" w:sz="4" w:space="0" w:color="auto"/>
            </w:tcBorders>
            <w:shd w:val="clear" w:color="000000" w:fill="FFFFFF"/>
            <w:noWrap/>
            <w:vAlign w:val="center"/>
            <w:hideMark/>
          </w:tcPr>
          <w:p w14:paraId="016568DB"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2</w:t>
            </w:r>
          </w:p>
        </w:tc>
      </w:tr>
      <w:tr w:rsidR="00EA67FE" w:rsidRPr="009C4087" w14:paraId="21FE482F" w14:textId="77777777" w:rsidTr="0010736D">
        <w:trPr>
          <w:trHeight w:val="300"/>
        </w:trPr>
        <w:tc>
          <w:tcPr>
            <w:tcW w:w="1900" w:type="dxa"/>
            <w:tcBorders>
              <w:top w:val="nil"/>
              <w:left w:val="single" w:sz="4" w:space="0" w:color="auto"/>
              <w:bottom w:val="nil"/>
              <w:right w:val="single" w:sz="4" w:space="0" w:color="auto"/>
            </w:tcBorders>
            <w:shd w:val="clear" w:color="000000" w:fill="FFFFFF"/>
            <w:noWrap/>
            <w:vAlign w:val="bottom"/>
            <w:hideMark/>
          </w:tcPr>
          <w:p w14:paraId="4788E8CD" w14:textId="77777777" w:rsidR="00EA67FE" w:rsidRPr="009C4087" w:rsidRDefault="00EA67FE" w:rsidP="0010736D">
            <w:pPr>
              <w:spacing w:after="0" w:line="240" w:lineRule="auto"/>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North West</w:t>
            </w:r>
          </w:p>
        </w:tc>
        <w:tc>
          <w:tcPr>
            <w:tcW w:w="905" w:type="dxa"/>
            <w:tcBorders>
              <w:top w:val="nil"/>
              <w:left w:val="nil"/>
              <w:bottom w:val="nil"/>
              <w:right w:val="single" w:sz="4" w:space="0" w:color="auto"/>
            </w:tcBorders>
            <w:shd w:val="clear" w:color="000000" w:fill="FFFFFF"/>
            <w:noWrap/>
            <w:vAlign w:val="center"/>
            <w:hideMark/>
          </w:tcPr>
          <w:p w14:paraId="6A57D69A"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10</w:t>
            </w:r>
          </w:p>
        </w:tc>
        <w:tc>
          <w:tcPr>
            <w:tcW w:w="1919" w:type="dxa"/>
            <w:tcBorders>
              <w:top w:val="nil"/>
              <w:left w:val="nil"/>
              <w:bottom w:val="nil"/>
              <w:right w:val="single" w:sz="4" w:space="0" w:color="auto"/>
            </w:tcBorders>
            <w:shd w:val="clear" w:color="000000" w:fill="FFFFFF"/>
            <w:noWrap/>
            <w:vAlign w:val="center"/>
            <w:hideMark/>
          </w:tcPr>
          <w:p w14:paraId="46D0B719"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7</w:t>
            </w:r>
          </w:p>
        </w:tc>
        <w:tc>
          <w:tcPr>
            <w:tcW w:w="2097" w:type="dxa"/>
            <w:tcBorders>
              <w:top w:val="nil"/>
              <w:left w:val="nil"/>
              <w:bottom w:val="nil"/>
              <w:right w:val="single" w:sz="4" w:space="0" w:color="auto"/>
            </w:tcBorders>
            <w:shd w:val="clear" w:color="000000" w:fill="FFFFFF"/>
            <w:noWrap/>
            <w:vAlign w:val="center"/>
            <w:hideMark/>
          </w:tcPr>
          <w:p w14:paraId="500D1C2A"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5</w:t>
            </w:r>
          </w:p>
        </w:tc>
      </w:tr>
      <w:tr w:rsidR="00EA67FE" w:rsidRPr="009C4087" w14:paraId="69D04B48" w14:textId="77777777" w:rsidTr="0010736D">
        <w:trPr>
          <w:trHeight w:val="300"/>
        </w:trPr>
        <w:tc>
          <w:tcPr>
            <w:tcW w:w="1900" w:type="dxa"/>
            <w:tcBorders>
              <w:top w:val="nil"/>
              <w:left w:val="single" w:sz="4" w:space="0" w:color="auto"/>
              <w:bottom w:val="nil"/>
              <w:right w:val="single" w:sz="4" w:space="0" w:color="auto"/>
            </w:tcBorders>
            <w:shd w:val="clear" w:color="000000" w:fill="FFFFFF"/>
            <w:noWrap/>
            <w:vAlign w:val="bottom"/>
            <w:hideMark/>
          </w:tcPr>
          <w:p w14:paraId="3323ED25" w14:textId="77777777" w:rsidR="00EA67FE" w:rsidRPr="009C4087" w:rsidRDefault="00EA67FE" w:rsidP="0010736D">
            <w:pPr>
              <w:spacing w:after="0" w:line="240" w:lineRule="auto"/>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South East</w:t>
            </w:r>
          </w:p>
        </w:tc>
        <w:tc>
          <w:tcPr>
            <w:tcW w:w="905" w:type="dxa"/>
            <w:tcBorders>
              <w:top w:val="nil"/>
              <w:left w:val="nil"/>
              <w:bottom w:val="nil"/>
              <w:right w:val="single" w:sz="4" w:space="0" w:color="auto"/>
            </w:tcBorders>
            <w:shd w:val="clear" w:color="000000" w:fill="FFFFFF"/>
            <w:noWrap/>
            <w:vAlign w:val="center"/>
            <w:hideMark/>
          </w:tcPr>
          <w:p w14:paraId="044D7585"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7</w:t>
            </w:r>
          </w:p>
        </w:tc>
        <w:tc>
          <w:tcPr>
            <w:tcW w:w="1919" w:type="dxa"/>
            <w:tcBorders>
              <w:top w:val="nil"/>
              <w:left w:val="nil"/>
              <w:bottom w:val="nil"/>
              <w:right w:val="single" w:sz="4" w:space="0" w:color="auto"/>
            </w:tcBorders>
            <w:shd w:val="clear" w:color="000000" w:fill="FFFFFF"/>
            <w:noWrap/>
            <w:vAlign w:val="center"/>
            <w:hideMark/>
          </w:tcPr>
          <w:p w14:paraId="2AA210F6"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6</w:t>
            </w:r>
          </w:p>
        </w:tc>
        <w:tc>
          <w:tcPr>
            <w:tcW w:w="2097" w:type="dxa"/>
            <w:tcBorders>
              <w:top w:val="nil"/>
              <w:left w:val="nil"/>
              <w:bottom w:val="nil"/>
              <w:right w:val="single" w:sz="4" w:space="0" w:color="auto"/>
            </w:tcBorders>
            <w:shd w:val="clear" w:color="000000" w:fill="FFFFFF"/>
            <w:noWrap/>
            <w:vAlign w:val="center"/>
            <w:hideMark/>
          </w:tcPr>
          <w:p w14:paraId="26717633"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5</w:t>
            </w:r>
          </w:p>
        </w:tc>
      </w:tr>
      <w:tr w:rsidR="00EA67FE" w:rsidRPr="009C4087" w14:paraId="702D533F" w14:textId="77777777" w:rsidTr="0010736D">
        <w:trPr>
          <w:trHeight w:val="300"/>
        </w:trPr>
        <w:tc>
          <w:tcPr>
            <w:tcW w:w="1900" w:type="dxa"/>
            <w:tcBorders>
              <w:top w:val="nil"/>
              <w:left w:val="single" w:sz="4" w:space="0" w:color="auto"/>
              <w:bottom w:val="nil"/>
              <w:right w:val="single" w:sz="4" w:space="0" w:color="auto"/>
            </w:tcBorders>
            <w:shd w:val="clear" w:color="000000" w:fill="FFFFFF"/>
            <w:noWrap/>
            <w:vAlign w:val="bottom"/>
            <w:hideMark/>
          </w:tcPr>
          <w:p w14:paraId="76E4F14E" w14:textId="77777777" w:rsidR="00EA67FE" w:rsidRPr="009C4087" w:rsidRDefault="00EA67FE" w:rsidP="0010736D">
            <w:pPr>
              <w:spacing w:after="0" w:line="240" w:lineRule="auto"/>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South West</w:t>
            </w:r>
          </w:p>
        </w:tc>
        <w:tc>
          <w:tcPr>
            <w:tcW w:w="905" w:type="dxa"/>
            <w:tcBorders>
              <w:top w:val="nil"/>
              <w:left w:val="nil"/>
              <w:bottom w:val="nil"/>
              <w:right w:val="single" w:sz="4" w:space="0" w:color="auto"/>
            </w:tcBorders>
            <w:shd w:val="clear" w:color="000000" w:fill="FFFFFF"/>
            <w:noWrap/>
            <w:vAlign w:val="center"/>
            <w:hideMark/>
          </w:tcPr>
          <w:p w14:paraId="480A299B"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9</w:t>
            </w:r>
          </w:p>
        </w:tc>
        <w:tc>
          <w:tcPr>
            <w:tcW w:w="1919" w:type="dxa"/>
            <w:tcBorders>
              <w:top w:val="nil"/>
              <w:left w:val="nil"/>
              <w:bottom w:val="nil"/>
              <w:right w:val="single" w:sz="4" w:space="0" w:color="auto"/>
            </w:tcBorders>
            <w:shd w:val="clear" w:color="000000" w:fill="FFFFFF"/>
            <w:noWrap/>
            <w:vAlign w:val="center"/>
            <w:hideMark/>
          </w:tcPr>
          <w:p w14:paraId="48EB0B48"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6</w:t>
            </w:r>
          </w:p>
        </w:tc>
        <w:tc>
          <w:tcPr>
            <w:tcW w:w="2097" w:type="dxa"/>
            <w:tcBorders>
              <w:top w:val="nil"/>
              <w:left w:val="nil"/>
              <w:bottom w:val="nil"/>
              <w:right w:val="single" w:sz="4" w:space="0" w:color="auto"/>
            </w:tcBorders>
            <w:shd w:val="clear" w:color="000000" w:fill="FFFFFF"/>
            <w:noWrap/>
            <w:vAlign w:val="center"/>
            <w:hideMark/>
          </w:tcPr>
          <w:p w14:paraId="7C1C992D"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5</w:t>
            </w:r>
          </w:p>
        </w:tc>
      </w:tr>
      <w:tr w:rsidR="00EA67FE" w:rsidRPr="009C4087" w14:paraId="7FD7F67B" w14:textId="77777777" w:rsidTr="0010736D">
        <w:trPr>
          <w:trHeight w:val="300"/>
        </w:trPr>
        <w:tc>
          <w:tcPr>
            <w:tcW w:w="1900" w:type="dxa"/>
            <w:tcBorders>
              <w:top w:val="nil"/>
              <w:left w:val="single" w:sz="4" w:space="0" w:color="auto"/>
              <w:bottom w:val="nil"/>
              <w:right w:val="single" w:sz="4" w:space="0" w:color="auto"/>
            </w:tcBorders>
            <w:shd w:val="clear" w:color="000000" w:fill="FFFFFF"/>
            <w:noWrap/>
            <w:vAlign w:val="bottom"/>
            <w:hideMark/>
          </w:tcPr>
          <w:p w14:paraId="15DF9A7D" w14:textId="77777777" w:rsidR="00EA67FE" w:rsidRPr="009C4087" w:rsidRDefault="00EA67FE" w:rsidP="0010736D">
            <w:pPr>
              <w:spacing w:after="0" w:line="240" w:lineRule="auto"/>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West Midlands</w:t>
            </w:r>
          </w:p>
        </w:tc>
        <w:tc>
          <w:tcPr>
            <w:tcW w:w="905" w:type="dxa"/>
            <w:tcBorders>
              <w:top w:val="nil"/>
              <w:left w:val="nil"/>
              <w:bottom w:val="nil"/>
              <w:right w:val="single" w:sz="4" w:space="0" w:color="auto"/>
            </w:tcBorders>
            <w:shd w:val="clear" w:color="000000" w:fill="FFFFFF"/>
            <w:noWrap/>
            <w:vAlign w:val="center"/>
            <w:hideMark/>
          </w:tcPr>
          <w:p w14:paraId="3E3677F7"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7</w:t>
            </w:r>
          </w:p>
        </w:tc>
        <w:tc>
          <w:tcPr>
            <w:tcW w:w="1919" w:type="dxa"/>
            <w:tcBorders>
              <w:top w:val="nil"/>
              <w:left w:val="nil"/>
              <w:bottom w:val="nil"/>
              <w:right w:val="single" w:sz="4" w:space="0" w:color="auto"/>
            </w:tcBorders>
            <w:shd w:val="clear" w:color="000000" w:fill="FFFFFF"/>
            <w:noWrap/>
            <w:vAlign w:val="center"/>
            <w:hideMark/>
          </w:tcPr>
          <w:p w14:paraId="4AA50E4E"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6</w:t>
            </w:r>
          </w:p>
        </w:tc>
        <w:tc>
          <w:tcPr>
            <w:tcW w:w="2097" w:type="dxa"/>
            <w:tcBorders>
              <w:top w:val="nil"/>
              <w:left w:val="nil"/>
              <w:bottom w:val="nil"/>
              <w:right w:val="single" w:sz="4" w:space="0" w:color="auto"/>
            </w:tcBorders>
            <w:shd w:val="clear" w:color="000000" w:fill="FFFFFF"/>
            <w:noWrap/>
            <w:vAlign w:val="center"/>
            <w:hideMark/>
          </w:tcPr>
          <w:p w14:paraId="39229C6E"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4</w:t>
            </w:r>
          </w:p>
        </w:tc>
      </w:tr>
      <w:tr w:rsidR="00EA67FE" w:rsidRPr="009C4087" w14:paraId="6EFEC4DC" w14:textId="77777777" w:rsidTr="0010736D">
        <w:trPr>
          <w:trHeight w:val="300"/>
        </w:trPr>
        <w:tc>
          <w:tcPr>
            <w:tcW w:w="1900" w:type="dxa"/>
            <w:tcBorders>
              <w:top w:val="nil"/>
              <w:left w:val="single" w:sz="4" w:space="0" w:color="auto"/>
              <w:bottom w:val="nil"/>
              <w:right w:val="single" w:sz="4" w:space="0" w:color="auto"/>
            </w:tcBorders>
            <w:shd w:val="clear" w:color="000000" w:fill="FFFFFF"/>
            <w:noWrap/>
            <w:vAlign w:val="bottom"/>
            <w:hideMark/>
          </w:tcPr>
          <w:p w14:paraId="1B17DAAD" w14:textId="77777777" w:rsidR="00EA67FE" w:rsidRPr="009C4087" w:rsidRDefault="00EA67FE" w:rsidP="0010736D">
            <w:pPr>
              <w:spacing w:after="0" w:line="240" w:lineRule="auto"/>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Yorkshire Humber</w:t>
            </w:r>
          </w:p>
        </w:tc>
        <w:tc>
          <w:tcPr>
            <w:tcW w:w="905" w:type="dxa"/>
            <w:tcBorders>
              <w:top w:val="nil"/>
              <w:left w:val="nil"/>
              <w:bottom w:val="nil"/>
              <w:right w:val="single" w:sz="4" w:space="0" w:color="auto"/>
            </w:tcBorders>
            <w:shd w:val="clear" w:color="000000" w:fill="FFFFFF"/>
            <w:noWrap/>
            <w:vAlign w:val="center"/>
            <w:hideMark/>
          </w:tcPr>
          <w:p w14:paraId="7D2CDA6A"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7</w:t>
            </w:r>
          </w:p>
        </w:tc>
        <w:tc>
          <w:tcPr>
            <w:tcW w:w="1919" w:type="dxa"/>
            <w:tcBorders>
              <w:top w:val="nil"/>
              <w:left w:val="nil"/>
              <w:bottom w:val="nil"/>
              <w:right w:val="single" w:sz="4" w:space="0" w:color="auto"/>
            </w:tcBorders>
            <w:shd w:val="clear" w:color="000000" w:fill="FFFFFF"/>
            <w:noWrap/>
            <w:vAlign w:val="center"/>
            <w:hideMark/>
          </w:tcPr>
          <w:p w14:paraId="3CC3FDDC"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5</w:t>
            </w:r>
          </w:p>
        </w:tc>
        <w:tc>
          <w:tcPr>
            <w:tcW w:w="2097" w:type="dxa"/>
            <w:tcBorders>
              <w:top w:val="nil"/>
              <w:left w:val="nil"/>
              <w:bottom w:val="nil"/>
              <w:right w:val="single" w:sz="4" w:space="0" w:color="auto"/>
            </w:tcBorders>
            <w:shd w:val="clear" w:color="000000" w:fill="FFFFFF"/>
            <w:noWrap/>
            <w:vAlign w:val="center"/>
            <w:hideMark/>
          </w:tcPr>
          <w:p w14:paraId="45EEA362" w14:textId="77777777" w:rsidR="00EA67FE" w:rsidRPr="009C4087" w:rsidRDefault="00EA67FE" w:rsidP="0010736D">
            <w:pPr>
              <w:spacing w:after="0" w:line="240" w:lineRule="auto"/>
              <w:jc w:val="center"/>
              <w:rPr>
                <w:rFonts w:ascii="Calibri" w:eastAsia="Times New Roman" w:hAnsi="Calibri" w:cs="Times New Roman"/>
                <w:color w:val="000000"/>
                <w:sz w:val="22"/>
                <w:lang w:eastAsia="en-GB"/>
              </w:rPr>
            </w:pPr>
            <w:r w:rsidRPr="009C4087">
              <w:rPr>
                <w:rFonts w:ascii="Calibri" w:eastAsia="Times New Roman" w:hAnsi="Calibri" w:cs="Times New Roman"/>
                <w:color w:val="000000"/>
                <w:sz w:val="22"/>
                <w:lang w:eastAsia="en-GB"/>
              </w:rPr>
              <w:t>3</w:t>
            </w:r>
          </w:p>
        </w:tc>
      </w:tr>
      <w:tr w:rsidR="00EA67FE" w:rsidRPr="009C4087" w14:paraId="6532D54C" w14:textId="77777777" w:rsidTr="0010736D">
        <w:trPr>
          <w:trHeight w:val="300"/>
        </w:trPr>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D31918" w14:textId="77777777" w:rsidR="00EA67FE" w:rsidRPr="009C4087" w:rsidRDefault="00EA67FE" w:rsidP="0010736D">
            <w:pPr>
              <w:spacing w:after="0" w:line="240" w:lineRule="auto"/>
              <w:rPr>
                <w:rFonts w:ascii="Calibri" w:eastAsia="Times New Roman" w:hAnsi="Calibri" w:cs="Times New Roman"/>
                <w:b/>
                <w:bCs/>
                <w:color w:val="000000"/>
                <w:sz w:val="22"/>
                <w:lang w:eastAsia="en-GB"/>
              </w:rPr>
            </w:pPr>
            <w:r w:rsidRPr="009C4087">
              <w:rPr>
                <w:rFonts w:ascii="Calibri" w:eastAsia="Times New Roman" w:hAnsi="Calibri" w:cs="Times New Roman"/>
                <w:b/>
                <w:bCs/>
                <w:color w:val="000000"/>
                <w:sz w:val="22"/>
                <w:lang w:eastAsia="en-GB"/>
              </w:rPr>
              <w:t>Total</w:t>
            </w:r>
          </w:p>
        </w:tc>
        <w:tc>
          <w:tcPr>
            <w:tcW w:w="905" w:type="dxa"/>
            <w:tcBorders>
              <w:top w:val="single" w:sz="4" w:space="0" w:color="auto"/>
              <w:left w:val="nil"/>
              <w:bottom w:val="single" w:sz="4" w:space="0" w:color="auto"/>
              <w:right w:val="single" w:sz="4" w:space="0" w:color="auto"/>
            </w:tcBorders>
            <w:shd w:val="clear" w:color="000000" w:fill="FFFFFF"/>
            <w:noWrap/>
            <w:vAlign w:val="center"/>
            <w:hideMark/>
          </w:tcPr>
          <w:p w14:paraId="43767A38" w14:textId="77777777" w:rsidR="00EA67FE" w:rsidRPr="009C4087" w:rsidRDefault="00EA67FE" w:rsidP="0010736D">
            <w:pPr>
              <w:spacing w:after="0" w:line="240" w:lineRule="auto"/>
              <w:jc w:val="center"/>
              <w:rPr>
                <w:rFonts w:ascii="Calibri" w:eastAsia="Times New Roman" w:hAnsi="Calibri" w:cs="Times New Roman"/>
                <w:b/>
                <w:bCs/>
                <w:color w:val="000000"/>
                <w:sz w:val="22"/>
                <w:lang w:eastAsia="en-GB"/>
              </w:rPr>
            </w:pPr>
            <w:r w:rsidRPr="009C4087">
              <w:rPr>
                <w:rFonts w:ascii="Calibri" w:eastAsia="Times New Roman" w:hAnsi="Calibri" w:cs="Times New Roman"/>
                <w:b/>
                <w:bCs/>
                <w:color w:val="000000"/>
                <w:sz w:val="22"/>
                <w:lang w:eastAsia="en-GB"/>
              </w:rPr>
              <w:t>72</w:t>
            </w:r>
          </w:p>
        </w:tc>
        <w:tc>
          <w:tcPr>
            <w:tcW w:w="1919" w:type="dxa"/>
            <w:tcBorders>
              <w:top w:val="single" w:sz="4" w:space="0" w:color="auto"/>
              <w:left w:val="nil"/>
              <w:bottom w:val="single" w:sz="4" w:space="0" w:color="auto"/>
              <w:right w:val="single" w:sz="4" w:space="0" w:color="auto"/>
            </w:tcBorders>
            <w:shd w:val="clear" w:color="000000" w:fill="FFFFFF"/>
            <w:noWrap/>
            <w:vAlign w:val="center"/>
            <w:hideMark/>
          </w:tcPr>
          <w:p w14:paraId="333BA1A4" w14:textId="77777777" w:rsidR="00EA67FE" w:rsidRPr="009C4087" w:rsidRDefault="00EA67FE" w:rsidP="0010736D">
            <w:pPr>
              <w:spacing w:after="0" w:line="240" w:lineRule="auto"/>
              <w:jc w:val="center"/>
              <w:rPr>
                <w:rFonts w:ascii="Calibri" w:eastAsia="Times New Roman" w:hAnsi="Calibri" w:cs="Times New Roman"/>
                <w:b/>
                <w:bCs/>
                <w:color w:val="000000"/>
                <w:sz w:val="22"/>
                <w:lang w:eastAsia="en-GB"/>
              </w:rPr>
            </w:pPr>
            <w:r w:rsidRPr="009C4087">
              <w:rPr>
                <w:rFonts w:ascii="Calibri" w:eastAsia="Times New Roman" w:hAnsi="Calibri" w:cs="Times New Roman"/>
                <w:b/>
                <w:bCs/>
                <w:color w:val="000000"/>
                <w:sz w:val="22"/>
                <w:lang w:eastAsia="en-GB"/>
              </w:rPr>
              <w:t>49</w:t>
            </w:r>
          </w:p>
        </w:tc>
        <w:tc>
          <w:tcPr>
            <w:tcW w:w="2097" w:type="dxa"/>
            <w:tcBorders>
              <w:top w:val="single" w:sz="4" w:space="0" w:color="auto"/>
              <w:left w:val="nil"/>
              <w:bottom w:val="single" w:sz="4" w:space="0" w:color="auto"/>
              <w:right w:val="single" w:sz="4" w:space="0" w:color="auto"/>
            </w:tcBorders>
            <w:shd w:val="clear" w:color="000000" w:fill="FFFFFF"/>
            <w:noWrap/>
            <w:vAlign w:val="center"/>
            <w:hideMark/>
          </w:tcPr>
          <w:p w14:paraId="11B4EE9E" w14:textId="77777777" w:rsidR="00EA67FE" w:rsidRPr="009C4087" w:rsidRDefault="00EA67FE" w:rsidP="0010736D">
            <w:pPr>
              <w:spacing w:after="0" w:line="240" w:lineRule="auto"/>
              <w:jc w:val="center"/>
              <w:rPr>
                <w:rFonts w:ascii="Calibri" w:eastAsia="Times New Roman" w:hAnsi="Calibri" w:cs="Times New Roman"/>
                <w:b/>
                <w:bCs/>
                <w:color w:val="000000"/>
                <w:sz w:val="22"/>
                <w:lang w:eastAsia="en-GB"/>
              </w:rPr>
            </w:pPr>
            <w:r w:rsidRPr="009C4087">
              <w:rPr>
                <w:rFonts w:ascii="Calibri" w:eastAsia="Times New Roman" w:hAnsi="Calibri" w:cs="Times New Roman"/>
                <w:b/>
                <w:bCs/>
                <w:color w:val="000000"/>
                <w:sz w:val="22"/>
                <w:lang w:eastAsia="en-GB"/>
              </w:rPr>
              <w:t>38</w:t>
            </w:r>
          </w:p>
        </w:tc>
      </w:tr>
    </w:tbl>
    <w:p w14:paraId="6A2DC3C3" w14:textId="77777777" w:rsidR="00EA67FE" w:rsidRDefault="00EA67FE" w:rsidP="00EA67FE">
      <w:pPr>
        <w:spacing w:line="360" w:lineRule="auto"/>
        <w:jc w:val="both"/>
      </w:pPr>
    </w:p>
    <w:p w14:paraId="78BBF30B" w14:textId="77777777" w:rsidR="00EA67FE" w:rsidRDefault="00EA67FE" w:rsidP="00EA67FE">
      <w:pPr>
        <w:spacing w:line="360" w:lineRule="auto"/>
        <w:jc w:val="both"/>
      </w:pPr>
      <w:r>
        <w:fldChar w:fldCharType="begin"/>
      </w:r>
      <w:r>
        <w:instrText xml:space="preserve"> REF _Ref9809308 \h </w:instrText>
      </w:r>
      <w:r>
        <w:fldChar w:fldCharType="separate"/>
      </w:r>
      <w:r>
        <w:t xml:space="preserve">Table </w:t>
      </w:r>
      <w:r>
        <w:rPr>
          <w:noProof/>
        </w:rPr>
        <w:t>2</w:t>
      </w:r>
      <w:r>
        <w:fldChar w:fldCharType="end"/>
      </w:r>
      <w:r>
        <w:t xml:space="preserve"> shows the results of the deterministic model comparing the three decision options when the whole combined cohort of AAA, PAD, and CAD was considered. Compared to the 60-threshold reconfiguration, the 100-threshold reconfiguration slightly increased the length of stay (+0.2 day per patient); it reduced in-hospital death (-0.21%) and had positive impact on long-term survival of those who survived the index repairs leading to an increase in the total of QALYs (+0.0177 additional discounted QALYs gained per patient). The 100-threshold reconfiguration (compared to the 60-threshold reconfiguration) increased to the costs of index admission (+£615 per patient) but saved resources on other longer-term costs. This led to a reduction in the total costs when discounting was not included (-£310 per patient) but an increase in the total costs when discounting was included (+ £165 per patient). The 100-threshold reconfiguration (compared to the 60-threshold reconfiguration) increased the total travel distance of patients by 5.6 miles per patient. </w:t>
      </w:r>
    </w:p>
    <w:p w14:paraId="5D67D9B7" w14:textId="77777777" w:rsidR="00EA67FE" w:rsidRDefault="00EA67FE" w:rsidP="00EA67FE">
      <w:pPr>
        <w:pStyle w:val="Caption"/>
      </w:pPr>
      <w:bookmarkStart w:id="2" w:name="_Ref9809308"/>
      <w:r>
        <w:t xml:space="preserve">Table </w:t>
      </w:r>
      <w:r w:rsidR="000743C1">
        <w:fldChar w:fldCharType="begin"/>
      </w:r>
      <w:r w:rsidR="000743C1">
        <w:instrText xml:space="preserve"> SEQ Table \* ARABIC </w:instrText>
      </w:r>
      <w:r w:rsidR="000743C1">
        <w:fldChar w:fldCharType="separate"/>
      </w:r>
      <w:r>
        <w:rPr>
          <w:noProof/>
        </w:rPr>
        <w:t>2</w:t>
      </w:r>
      <w:r w:rsidR="000743C1">
        <w:rPr>
          <w:noProof/>
        </w:rPr>
        <w:fldChar w:fldCharType="end"/>
      </w:r>
      <w:bookmarkEnd w:id="2"/>
      <w:r>
        <w:t>: Comparing 100-threshold configuration vs 60-threshold configuration vs baseline</w:t>
      </w:r>
    </w:p>
    <w:tbl>
      <w:tblPr>
        <w:tblW w:w="9261" w:type="dxa"/>
        <w:tblLook w:val="04A0" w:firstRow="1" w:lastRow="0" w:firstColumn="1" w:lastColumn="0" w:noHBand="0" w:noVBand="1"/>
      </w:tblPr>
      <w:tblGrid>
        <w:gridCol w:w="2830"/>
        <w:gridCol w:w="1110"/>
        <w:gridCol w:w="1140"/>
        <w:gridCol w:w="940"/>
        <w:gridCol w:w="1120"/>
        <w:gridCol w:w="1120"/>
        <w:gridCol w:w="1001"/>
      </w:tblGrid>
      <w:tr w:rsidR="00EA67FE" w:rsidRPr="002821E2" w14:paraId="213A4119" w14:textId="77777777" w:rsidTr="0010736D">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1830E5" w14:textId="77777777" w:rsidR="00EA67FE" w:rsidRPr="002821E2" w:rsidRDefault="00EA67FE" w:rsidP="0010736D">
            <w:pPr>
              <w:spacing w:after="0" w:line="240" w:lineRule="auto"/>
              <w:rPr>
                <w:rFonts w:ascii="Calibri" w:eastAsia="Times New Roman" w:hAnsi="Calibri" w:cs="Times New Roman"/>
                <w:b/>
                <w:bCs/>
                <w:color w:val="000000"/>
                <w:sz w:val="22"/>
                <w:lang w:eastAsia="en-GB"/>
              </w:rPr>
            </w:pPr>
            <w:r w:rsidRPr="002821E2">
              <w:rPr>
                <w:rFonts w:ascii="Calibri" w:eastAsia="Times New Roman" w:hAnsi="Calibri" w:cs="Times New Roman"/>
                <w:b/>
                <w:bCs/>
                <w:color w:val="000000"/>
                <w:sz w:val="22"/>
                <w:lang w:eastAsia="en-GB"/>
              </w:rPr>
              <w:t>Results (All cohort)</w:t>
            </w:r>
          </w:p>
        </w:tc>
        <w:tc>
          <w:tcPr>
            <w:tcW w:w="1110" w:type="dxa"/>
            <w:tcBorders>
              <w:top w:val="single" w:sz="4" w:space="0" w:color="auto"/>
              <w:left w:val="nil"/>
              <w:bottom w:val="single" w:sz="4" w:space="0" w:color="auto"/>
              <w:right w:val="single" w:sz="4" w:space="0" w:color="auto"/>
            </w:tcBorders>
            <w:shd w:val="clear" w:color="000000" w:fill="FFFFFF"/>
            <w:noWrap/>
            <w:vAlign w:val="bottom"/>
            <w:hideMark/>
          </w:tcPr>
          <w:p w14:paraId="5F18C537" w14:textId="77777777" w:rsidR="00EA67FE" w:rsidRPr="002821E2" w:rsidRDefault="00EA67FE" w:rsidP="0010736D">
            <w:pPr>
              <w:spacing w:after="0" w:line="240" w:lineRule="auto"/>
              <w:rPr>
                <w:rFonts w:ascii="Calibri" w:eastAsia="Times New Roman" w:hAnsi="Calibri" w:cs="Times New Roman"/>
                <w:b/>
                <w:bCs/>
                <w:color w:val="000000"/>
                <w:sz w:val="22"/>
                <w:lang w:eastAsia="en-GB"/>
              </w:rPr>
            </w:pPr>
            <w:r w:rsidRPr="002821E2">
              <w:rPr>
                <w:rFonts w:ascii="Calibri" w:eastAsia="Times New Roman" w:hAnsi="Calibri" w:cs="Times New Roman"/>
                <w:b/>
                <w:bCs/>
                <w:color w:val="000000"/>
                <w:sz w:val="22"/>
                <w:lang w:eastAsia="en-GB"/>
              </w:rPr>
              <w:t>Baseline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452AAEB" w14:textId="77777777" w:rsidR="00EA67FE" w:rsidRPr="002821E2" w:rsidRDefault="00EA67FE" w:rsidP="0010736D">
            <w:pPr>
              <w:spacing w:after="0" w:line="240" w:lineRule="auto"/>
              <w:rPr>
                <w:rFonts w:ascii="Calibri" w:eastAsia="Times New Roman" w:hAnsi="Calibri" w:cs="Times New Roman"/>
                <w:b/>
                <w:bCs/>
                <w:color w:val="000000"/>
                <w:sz w:val="22"/>
                <w:lang w:eastAsia="en-GB"/>
              </w:rPr>
            </w:pPr>
            <w:r w:rsidRPr="002821E2">
              <w:rPr>
                <w:rFonts w:ascii="Calibri" w:eastAsia="Times New Roman" w:hAnsi="Calibri" w:cs="Times New Roman"/>
                <w:b/>
                <w:bCs/>
                <w:color w:val="000000"/>
                <w:sz w:val="22"/>
                <w:lang w:eastAsia="en-GB"/>
              </w:rPr>
              <w:t>New 60</w:t>
            </w: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14:paraId="0273CE58" w14:textId="77777777" w:rsidR="00EA67FE" w:rsidRPr="002821E2" w:rsidRDefault="00EA67FE" w:rsidP="0010736D">
            <w:pPr>
              <w:spacing w:after="0" w:line="240" w:lineRule="auto"/>
              <w:rPr>
                <w:rFonts w:ascii="Calibri" w:eastAsia="Times New Roman" w:hAnsi="Calibri" w:cs="Times New Roman"/>
                <w:b/>
                <w:bCs/>
                <w:color w:val="000000"/>
                <w:sz w:val="22"/>
                <w:lang w:eastAsia="en-GB"/>
              </w:rPr>
            </w:pPr>
            <w:r w:rsidRPr="002821E2">
              <w:rPr>
                <w:rFonts w:ascii="Calibri" w:eastAsia="Times New Roman" w:hAnsi="Calibri" w:cs="Times New Roman"/>
                <w:b/>
                <w:bCs/>
                <w:color w:val="000000"/>
                <w:sz w:val="22"/>
                <w:lang w:eastAsia="en-GB"/>
              </w:rPr>
              <w:t>New 100</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14:paraId="2FBFB8B2" w14:textId="77777777" w:rsidR="00EA67FE" w:rsidRPr="002821E2" w:rsidRDefault="00EA67FE" w:rsidP="0010736D">
            <w:pPr>
              <w:spacing w:after="0" w:line="240" w:lineRule="auto"/>
              <w:rPr>
                <w:rFonts w:ascii="Calibri" w:eastAsia="Times New Roman" w:hAnsi="Calibri" w:cs="Times New Roman"/>
                <w:b/>
                <w:bCs/>
                <w:color w:val="000000"/>
                <w:sz w:val="22"/>
                <w:lang w:eastAsia="en-GB"/>
              </w:rPr>
            </w:pPr>
            <w:r w:rsidRPr="002821E2">
              <w:rPr>
                <w:rFonts w:ascii="Calibri" w:eastAsia="Times New Roman" w:hAnsi="Calibri" w:cs="Times New Roman"/>
                <w:b/>
                <w:bCs/>
                <w:color w:val="000000"/>
                <w:sz w:val="22"/>
                <w:lang w:eastAsia="en-GB"/>
              </w:rPr>
              <w:t>60 vs base</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14:paraId="691D5D61" w14:textId="77777777" w:rsidR="00EA67FE" w:rsidRPr="002821E2" w:rsidRDefault="00EA67FE" w:rsidP="0010736D">
            <w:pPr>
              <w:spacing w:after="0" w:line="240" w:lineRule="auto"/>
              <w:rPr>
                <w:rFonts w:ascii="Calibri" w:eastAsia="Times New Roman" w:hAnsi="Calibri" w:cs="Times New Roman"/>
                <w:b/>
                <w:bCs/>
                <w:color w:val="000000"/>
                <w:sz w:val="22"/>
                <w:lang w:eastAsia="en-GB"/>
              </w:rPr>
            </w:pPr>
            <w:r w:rsidRPr="002821E2">
              <w:rPr>
                <w:rFonts w:ascii="Calibri" w:eastAsia="Times New Roman" w:hAnsi="Calibri" w:cs="Times New Roman"/>
                <w:b/>
                <w:bCs/>
                <w:color w:val="000000"/>
                <w:sz w:val="22"/>
                <w:lang w:eastAsia="en-GB"/>
              </w:rPr>
              <w:t>100 vs base</w:t>
            </w:r>
          </w:p>
        </w:tc>
        <w:tc>
          <w:tcPr>
            <w:tcW w:w="1001" w:type="dxa"/>
            <w:tcBorders>
              <w:top w:val="single" w:sz="4" w:space="0" w:color="auto"/>
              <w:left w:val="nil"/>
              <w:bottom w:val="single" w:sz="4" w:space="0" w:color="auto"/>
              <w:right w:val="single" w:sz="4" w:space="0" w:color="auto"/>
            </w:tcBorders>
            <w:shd w:val="clear" w:color="000000" w:fill="FFFFFF"/>
            <w:noWrap/>
            <w:vAlign w:val="bottom"/>
            <w:hideMark/>
          </w:tcPr>
          <w:p w14:paraId="2694457B" w14:textId="77777777" w:rsidR="00EA67FE" w:rsidRPr="002821E2" w:rsidRDefault="00EA67FE" w:rsidP="0010736D">
            <w:pPr>
              <w:spacing w:after="0" w:line="240" w:lineRule="auto"/>
              <w:rPr>
                <w:rFonts w:ascii="Calibri" w:eastAsia="Times New Roman" w:hAnsi="Calibri" w:cs="Times New Roman"/>
                <w:b/>
                <w:bCs/>
                <w:color w:val="000000"/>
                <w:sz w:val="22"/>
                <w:lang w:eastAsia="en-GB"/>
              </w:rPr>
            </w:pPr>
            <w:r w:rsidRPr="002821E2">
              <w:rPr>
                <w:rFonts w:ascii="Calibri" w:eastAsia="Times New Roman" w:hAnsi="Calibri" w:cs="Times New Roman"/>
                <w:b/>
                <w:bCs/>
                <w:color w:val="000000"/>
                <w:sz w:val="22"/>
                <w:lang w:eastAsia="en-GB"/>
              </w:rPr>
              <w:t>100 vs 60</w:t>
            </w:r>
          </w:p>
        </w:tc>
      </w:tr>
      <w:tr w:rsidR="00EA67FE" w:rsidRPr="002821E2" w14:paraId="731D7E8B" w14:textId="77777777" w:rsidTr="0010736D">
        <w:trPr>
          <w:trHeight w:val="300"/>
        </w:trPr>
        <w:tc>
          <w:tcPr>
            <w:tcW w:w="2830" w:type="dxa"/>
            <w:tcBorders>
              <w:top w:val="nil"/>
              <w:left w:val="single" w:sz="4" w:space="0" w:color="auto"/>
              <w:bottom w:val="nil"/>
              <w:right w:val="single" w:sz="4" w:space="0" w:color="auto"/>
            </w:tcBorders>
            <w:shd w:val="clear" w:color="000000" w:fill="FFFFFF"/>
            <w:noWrap/>
            <w:vAlign w:val="bottom"/>
            <w:hideMark/>
          </w:tcPr>
          <w:p w14:paraId="52E02583"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Number of patients</w:t>
            </w:r>
          </w:p>
        </w:tc>
        <w:tc>
          <w:tcPr>
            <w:tcW w:w="1110" w:type="dxa"/>
            <w:tcBorders>
              <w:top w:val="nil"/>
              <w:left w:val="nil"/>
              <w:bottom w:val="nil"/>
              <w:right w:val="single" w:sz="4" w:space="0" w:color="auto"/>
            </w:tcBorders>
            <w:shd w:val="clear" w:color="000000" w:fill="FFFFFF"/>
            <w:noWrap/>
            <w:vAlign w:val="bottom"/>
            <w:hideMark/>
          </w:tcPr>
          <w:p w14:paraId="7C0BECBA"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34712</w:t>
            </w:r>
          </w:p>
        </w:tc>
        <w:tc>
          <w:tcPr>
            <w:tcW w:w="1140" w:type="dxa"/>
            <w:tcBorders>
              <w:top w:val="nil"/>
              <w:left w:val="nil"/>
              <w:bottom w:val="nil"/>
              <w:right w:val="single" w:sz="4" w:space="0" w:color="auto"/>
            </w:tcBorders>
            <w:shd w:val="clear" w:color="000000" w:fill="FFFFFF"/>
            <w:noWrap/>
            <w:vAlign w:val="bottom"/>
            <w:hideMark/>
          </w:tcPr>
          <w:p w14:paraId="7085891D"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34712</w:t>
            </w:r>
          </w:p>
        </w:tc>
        <w:tc>
          <w:tcPr>
            <w:tcW w:w="940" w:type="dxa"/>
            <w:tcBorders>
              <w:top w:val="nil"/>
              <w:left w:val="nil"/>
              <w:bottom w:val="nil"/>
              <w:right w:val="nil"/>
            </w:tcBorders>
            <w:shd w:val="clear" w:color="000000" w:fill="FFFFFF"/>
            <w:noWrap/>
            <w:vAlign w:val="bottom"/>
            <w:hideMark/>
          </w:tcPr>
          <w:p w14:paraId="4DEA0CF4"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34712</w:t>
            </w:r>
          </w:p>
        </w:tc>
        <w:tc>
          <w:tcPr>
            <w:tcW w:w="1120" w:type="dxa"/>
            <w:tcBorders>
              <w:top w:val="nil"/>
              <w:left w:val="single" w:sz="4" w:space="0" w:color="auto"/>
              <w:bottom w:val="nil"/>
              <w:right w:val="single" w:sz="4" w:space="0" w:color="auto"/>
            </w:tcBorders>
            <w:shd w:val="clear" w:color="000000" w:fill="FFFFFF"/>
            <w:noWrap/>
            <w:vAlign w:val="bottom"/>
            <w:hideMark/>
          </w:tcPr>
          <w:p w14:paraId="26FFCA61"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w:t>
            </w:r>
          </w:p>
        </w:tc>
        <w:tc>
          <w:tcPr>
            <w:tcW w:w="1120" w:type="dxa"/>
            <w:tcBorders>
              <w:top w:val="nil"/>
              <w:left w:val="nil"/>
              <w:bottom w:val="nil"/>
              <w:right w:val="single" w:sz="4" w:space="0" w:color="auto"/>
            </w:tcBorders>
            <w:shd w:val="clear" w:color="000000" w:fill="FFFFFF"/>
            <w:noWrap/>
            <w:vAlign w:val="bottom"/>
            <w:hideMark/>
          </w:tcPr>
          <w:p w14:paraId="3E03A7A2"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w:t>
            </w:r>
          </w:p>
        </w:tc>
        <w:tc>
          <w:tcPr>
            <w:tcW w:w="1001" w:type="dxa"/>
            <w:tcBorders>
              <w:top w:val="nil"/>
              <w:left w:val="nil"/>
              <w:bottom w:val="nil"/>
              <w:right w:val="single" w:sz="4" w:space="0" w:color="auto"/>
            </w:tcBorders>
            <w:shd w:val="clear" w:color="000000" w:fill="FFFFFF"/>
            <w:noWrap/>
            <w:vAlign w:val="bottom"/>
            <w:hideMark/>
          </w:tcPr>
          <w:p w14:paraId="2D42B4C4"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w:t>
            </w:r>
          </w:p>
        </w:tc>
      </w:tr>
      <w:tr w:rsidR="00EA67FE" w:rsidRPr="002821E2" w14:paraId="00AE88FD" w14:textId="77777777" w:rsidTr="0010736D">
        <w:trPr>
          <w:trHeight w:val="300"/>
        </w:trPr>
        <w:tc>
          <w:tcPr>
            <w:tcW w:w="2830" w:type="dxa"/>
            <w:tcBorders>
              <w:top w:val="nil"/>
              <w:left w:val="single" w:sz="4" w:space="0" w:color="auto"/>
              <w:bottom w:val="nil"/>
              <w:right w:val="single" w:sz="4" w:space="0" w:color="auto"/>
            </w:tcBorders>
            <w:shd w:val="clear" w:color="000000" w:fill="FFFFFF"/>
            <w:noWrap/>
            <w:vAlign w:val="bottom"/>
            <w:hideMark/>
          </w:tcPr>
          <w:p w14:paraId="4D8C954E"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AAA volume per site</w:t>
            </w:r>
          </w:p>
        </w:tc>
        <w:tc>
          <w:tcPr>
            <w:tcW w:w="1110" w:type="dxa"/>
            <w:tcBorders>
              <w:top w:val="nil"/>
              <w:left w:val="nil"/>
              <w:bottom w:val="nil"/>
              <w:right w:val="single" w:sz="4" w:space="0" w:color="auto"/>
            </w:tcBorders>
            <w:shd w:val="clear" w:color="000000" w:fill="FFFFFF"/>
            <w:noWrap/>
            <w:vAlign w:val="bottom"/>
            <w:hideMark/>
          </w:tcPr>
          <w:p w14:paraId="2548A016"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92</w:t>
            </w:r>
          </w:p>
        </w:tc>
        <w:tc>
          <w:tcPr>
            <w:tcW w:w="1140" w:type="dxa"/>
            <w:tcBorders>
              <w:top w:val="nil"/>
              <w:left w:val="nil"/>
              <w:bottom w:val="nil"/>
              <w:right w:val="single" w:sz="4" w:space="0" w:color="auto"/>
            </w:tcBorders>
            <w:shd w:val="clear" w:color="000000" w:fill="FFFFFF"/>
            <w:noWrap/>
            <w:vAlign w:val="bottom"/>
            <w:hideMark/>
          </w:tcPr>
          <w:p w14:paraId="6E324228"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135</w:t>
            </w:r>
          </w:p>
        </w:tc>
        <w:tc>
          <w:tcPr>
            <w:tcW w:w="940" w:type="dxa"/>
            <w:tcBorders>
              <w:top w:val="nil"/>
              <w:left w:val="nil"/>
              <w:bottom w:val="nil"/>
              <w:right w:val="nil"/>
            </w:tcBorders>
            <w:shd w:val="clear" w:color="000000" w:fill="FFFFFF"/>
            <w:noWrap/>
            <w:vAlign w:val="bottom"/>
            <w:hideMark/>
          </w:tcPr>
          <w:p w14:paraId="1920F464"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174</w:t>
            </w:r>
          </w:p>
        </w:tc>
        <w:tc>
          <w:tcPr>
            <w:tcW w:w="1120" w:type="dxa"/>
            <w:tcBorders>
              <w:top w:val="nil"/>
              <w:left w:val="single" w:sz="4" w:space="0" w:color="auto"/>
              <w:bottom w:val="nil"/>
              <w:right w:val="single" w:sz="4" w:space="0" w:color="auto"/>
            </w:tcBorders>
            <w:shd w:val="clear" w:color="000000" w:fill="FFFFFF"/>
            <w:noWrap/>
            <w:vAlign w:val="bottom"/>
            <w:hideMark/>
          </w:tcPr>
          <w:p w14:paraId="204C5D8C"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43</w:t>
            </w:r>
          </w:p>
        </w:tc>
        <w:tc>
          <w:tcPr>
            <w:tcW w:w="1120" w:type="dxa"/>
            <w:tcBorders>
              <w:top w:val="nil"/>
              <w:left w:val="nil"/>
              <w:bottom w:val="nil"/>
              <w:right w:val="single" w:sz="4" w:space="0" w:color="auto"/>
            </w:tcBorders>
            <w:shd w:val="clear" w:color="000000" w:fill="FFFFFF"/>
            <w:noWrap/>
            <w:vAlign w:val="bottom"/>
            <w:hideMark/>
          </w:tcPr>
          <w:p w14:paraId="2CAD86B2"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82</w:t>
            </w:r>
          </w:p>
        </w:tc>
        <w:tc>
          <w:tcPr>
            <w:tcW w:w="1001" w:type="dxa"/>
            <w:tcBorders>
              <w:top w:val="nil"/>
              <w:left w:val="nil"/>
              <w:bottom w:val="nil"/>
              <w:right w:val="single" w:sz="4" w:space="0" w:color="auto"/>
            </w:tcBorders>
            <w:shd w:val="clear" w:color="000000" w:fill="FFFFFF"/>
            <w:noWrap/>
            <w:vAlign w:val="bottom"/>
            <w:hideMark/>
          </w:tcPr>
          <w:p w14:paraId="18153568"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39</w:t>
            </w:r>
          </w:p>
        </w:tc>
      </w:tr>
      <w:tr w:rsidR="00EA67FE" w:rsidRPr="002821E2" w14:paraId="565C2D84" w14:textId="77777777" w:rsidTr="0010736D">
        <w:trPr>
          <w:trHeight w:val="300"/>
        </w:trPr>
        <w:tc>
          <w:tcPr>
            <w:tcW w:w="2830" w:type="dxa"/>
            <w:tcBorders>
              <w:top w:val="nil"/>
              <w:left w:val="single" w:sz="4" w:space="0" w:color="auto"/>
              <w:bottom w:val="nil"/>
              <w:right w:val="single" w:sz="4" w:space="0" w:color="auto"/>
            </w:tcBorders>
            <w:shd w:val="clear" w:color="000000" w:fill="FFFFFF"/>
            <w:noWrap/>
            <w:vAlign w:val="bottom"/>
            <w:hideMark/>
          </w:tcPr>
          <w:p w14:paraId="42C9F9D9"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Mean age</w:t>
            </w:r>
          </w:p>
        </w:tc>
        <w:tc>
          <w:tcPr>
            <w:tcW w:w="1110" w:type="dxa"/>
            <w:tcBorders>
              <w:top w:val="nil"/>
              <w:left w:val="nil"/>
              <w:bottom w:val="nil"/>
              <w:right w:val="single" w:sz="4" w:space="0" w:color="auto"/>
            </w:tcBorders>
            <w:shd w:val="clear" w:color="000000" w:fill="FFFFFF"/>
            <w:noWrap/>
            <w:vAlign w:val="bottom"/>
            <w:hideMark/>
          </w:tcPr>
          <w:p w14:paraId="5982CC8E"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70</w:t>
            </w:r>
          </w:p>
        </w:tc>
        <w:tc>
          <w:tcPr>
            <w:tcW w:w="1140" w:type="dxa"/>
            <w:tcBorders>
              <w:top w:val="nil"/>
              <w:left w:val="nil"/>
              <w:bottom w:val="nil"/>
              <w:right w:val="single" w:sz="4" w:space="0" w:color="auto"/>
            </w:tcBorders>
            <w:shd w:val="clear" w:color="000000" w:fill="FFFFFF"/>
            <w:noWrap/>
            <w:vAlign w:val="bottom"/>
            <w:hideMark/>
          </w:tcPr>
          <w:p w14:paraId="09EE36E9"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70</w:t>
            </w:r>
          </w:p>
        </w:tc>
        <w:tc>
          <w:tcPr>
            <w:tcW w:w="940" w:type="dxa"/>
            <w:tcBorders>
              <w:top w:val="nil"/>
              <w:left w:val="nil"/>
              <w:bottom w:val="nil"/>
              <w:right w:val="nil"/>
            </w:tcBorders>
            <w:shd w:val="clear" w:color="000000" w:fill="FFFFFF"/>
            <w:noWrap/>
            <w:vAlign w:val="bottom"/>
            <w:hideMark/>
          </w:tcPr>
          <w:p w14:paraId="12BD3B86"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70</w:t>
            </w:r>
          </w:p>
        </w:tc>
        <w:tc>
          <w:tcPr>
            <w:tcW w:w="1120" w:type="dxa"/>
            <w:tcBorders>
              <w:top w:val="nil"/>
              <w:left w:val="single" w:sz="4" w:space="0" w:color="auto"/>
              <w:bottom w:val="nil"/>
              <w:right w:val="single" w:sz="4" w:space="0" w:color="auto"/>
            </w:tcBorders>
            <w:shd w:val="clear" w:color="000000" w:fill="FFFFFF"/>
            <w:noWrap/>
            <w:vAlign w:val="bottom"/>
            <w:hideMark/>
          </w:tcPr>
          <w:p w14:paraId="00A143F9"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w:t>
            </w:r>
          </w:p>
        </w:tc>
        <w:tc>
          <w:tcPr>
            <w:tcW w:w="1120" w:type="dxa"/>
            <w:tcBorders>
              <w:top w:val="nil"/>
              <w:left w:val="nil"/>
              <w:bottom w:val="nil"/>
              <w:right w:val="single" w:sz="4" w:space="0" w:color="auto"/>
            </w:tcBorders>
            <w:shd w:val="clear" w:color="000000" w:fill="FFFFFF"/>
            <w:noWrap/>
            <w:vAlign w:val="bottom"/>
            <w:hideMark/>
          </w:tcPr>
          <w:p w14:paraId="45B95517"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w:t>
            </w:r>
          </w:p>
        </w:tc>
        <w:tc>
          <w:tcPr>
            <w:tcW w:w="1001" w:type="dxa"/>
            <w:tcBorders>
              <w:top w:val="nil"/>
              <w:left w:val="nil"/>
              <w:bottom w:val="nil"/>
              <w:right w:val="single" w:sz="4" w:space="0" w:color="auto"/>
            </w:tcBorders>
            <w:shd w:val="clear" w:color="000000" w:fill="FFFFFF"/>
            <w:noWrap/>
            <w:vAlign w:val="bottom"/>
            <w:hideMark/>
          </w:tcPr>
          <w:p w14:paraId="72021E95"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w:t>
            </w:r>
          </w:p>
        </w:tc>
      </w:tr>
      <w:tr w:rsidR="00EA67FE" w:rsidRPr="002821E2" w14:paraId="5BC2AC74" w14:textId="77777777" w:rsidTr="0010736D">
        <w:trPr>
          <w:trHeight w:val="300"/>
        </w:trPr>
        <w:tc>
          <w:tcPr>
            <w:tcW w:w="2830" w:type="dxa"/>
            <w:tcBorders>
              <w:top w:val="nil"/>
              <w:left w:val="single" w:sz="4" w:space="0" w:color="auto"/>
              <w:bottom w:val="nil"/>
              <w:right w:val="single" w:sz="4" w:space="0" w:color="auto"/>
            </w:tcBorders>
            <w:shd w:val="clear" w:color="000000" w:fill="FFFFFF"/>
            <w:noWrap/>
            <w:vAlign w:val="bottom"/>
            <w:hideMark/>
          </w:tcPr>
          <w:p w14:paraId="294B16AB"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 Male</w:t>
            </w:r>
          </w:p>
        </w:tc>
        <w:tc>
          <w:tcPr>
            <w:tcW w:w="1110" w:type="dxa"/>
            <w:tcBorders>
              <w:top w:val="nil"/>
              <w:left w:val="nil"/>
              <w:bottom w:val="nil"/>
              <w:right w:val="single" w:sz="4" w:space="0" w:color="auto"/>
            </w:tcBorders>
            <w:shd w:val="clear" w:color="000000" w:fill="FFFFFF"/>
            <w:noWrap/>
            <w:vAlign w:val="bottom"/>
            <w:hideMark/>
          </w:tcPr>
          <w:p w14:paraId="40B15F4F"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68%</w:t>
            </w:r>
          </w:p>
        </w:tc>
        <w:tc>
          <w:tcPr>
            <w:tcW w:w="1140" w:type="dxa"/>
            <w:tcBorders>
              <w:top w:val="nil"/>
              <w:left w:val="nil"/>
              <w:bottom w:val="nil"/>
              <w:right w:val="single" w:sz="4" w:space="0" w:color="auto"/>
            </w:tcBorders>
            <w:shd w:val="clear" w:color="000000" w:fill="FFFFFF"/>
            <w:noWrap/>
            <w:vAlign w:val="bottom"/>
            <w:hideMark/>
          </w:tcPr>
          <w:p w14:paraId="6FA23496"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68%</w:t>
            </w:r>
          </w:p>
        </w:tc>
        <w:tc>
          <w:tcPr>
            <w:tcW w:w="940" w:type="dxa"/>
            <w:tcBorders>
              <w:top w:val="nil"/>
              <w:left w:val="nil"/>
              <w:bottom w:val="nil"/>
              <w:right w:val="nil"/>
            </w:tcBorders>
            <w:shd w:val="clear" w:color="000000" w:fill="FFFFFF"/>
            <w:noWrap/>
            <w:vAlign w:val="bottom"/>
            <w:hideMark/>
          </w:tcPr>
          <w:p w14:paraId="3CC844FF"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68%</w:t>
            </w:r>
          </w:p>
        </w:tc>
        <w:tc>
          <w:tcPr>
            <w:tcW w:w="1120" w:type="dxa"/>
            <w:tcBorders>
              <w:top w:val="nil"/>
              <w:left w:val="single" w:sz="4" w:space="0" w:color="auto"/>
              <w:bottom w:val="nil"/>
              <w:right w:val="single" w:sz="4" w:space="0" w:color="auto"/>
            </w:tcBorders>
            <w:shd w:val="clear" w:color="000000" w:fill="FFFFFF"/>
            <w:noWrap/>
            <w:vAlign w:val="bottom"/>
            <w:hideMark/>
          </w:tcPr>
          <w:p w14:paraId="6A0BB0B1"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w:t>
            </w:r>
          </w:p>
        </w:tc>
        <w:tc>
          <w:tcPr>
            <w:tcW w:w="1120" w:type="dxa"/>
            <w:tcBorders>
              <w:top w:val="nil"/>
              <w:left w:val="nil"/>
              <w:bottom w:val="nil"/>
              <w:right w:val="single" w:sz="4" w:space="0" w:color="auto"/>
            </w:tcBorders>
            <w:shd w:val="clear" w:color="000000" w:fill="FFFFFF"/>
            <w:noWrap/>
            <w:vAlign w:val="bottom"/>
            <w:hideMark/>
          </w:tcPr>
          <w:p w14:paraId="5D867022"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w:t>
            </w:r>
          </w:p>
        </w:tc>
        <w:tc>
          <w:tcPr>
            <w:tcW w:w="1001" w:type="dxa"/>
            <w:tcBorders>
              <w:top w:val="nil"/>
              <w:left w:val="nil"/>
              <w:bottom w:val="nil"/>
              <w:right w:val="single" w:sz="4" w:space="0" w:color="auto"/>
            </w:tcBorders>
            <w:shd w:val="clear" w:color="000000" w:fill="FFFFFF"/>
            <w:noWrap/>
            <w:vAlign w:val="bottom"/>
            <w:hideMark/>
          </w:tcPr>
          <w:p w14:paraId="0988AF88"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w:t>
            </w:r>
          </w:p>
        </w:tc>
      </w:tr>
      <w:tr w:rsidR="00EA67FE" w:rsidRPr="002821E2" w14:paraId="6AD1E23A" w14:textId="77777777" w:rsidTr="0010736D">
        <w:trPr>
          <w:trHeight w:val="300"/>
        </w:trPr>
        <w:tc>
          <w:tcPr>
            <w:tcW w:w="2830" w:type="dxa"/>
            <w:tcBorders>
              <w:top w:val="nil"/>
              <w:left w:val="single" w:sz="4" w:space="0" w:color="auto"/>
              <w:bottom w:val="nil"/>
              <w:right w:val="single" w:sz="4" w:space="0" w:color="auto"/>
            </w:tcBorders>
            <w:shd w:val="clear" w:color="000000" w:fill="FFFFFF"/>
            <w:noWrap/>
            <w:vAlign w:val="bottom"/>
            <w:hideMark/>
          </w:tcPr>
          <w:p w14:paraId="565EB2E2"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Length of Stay</w:t>
            </w:r>
          </w:p>
        </w:tc>
        <w:tc>
          <w:tcPr>
            <w:tcW w:w="1110" w:type="dxa"/>
            <w:tcBorders>
              <w:top w:val="nil"/>
              <w:left w:val="nil"/>
              <w:bottom w:val="nil"/>
              <w:right w:val="single" w:sz="4" w:space="0" w:color="auto"/>
            </w:tcBorders>
            <w:shd w:val="clear" w:color="000000" w:fill="FFFFFF"/>
            <w:noWrap/>
            <w:vAlign w:val="bottom"/>
            <w:hideMark/>
          </w:tcPr>
          <w:p w14:paraId="0A0172A7"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8.5</w:t>
            </w:r>
          </w:p>
        </w:tc>
        <w:tc>
          <w:tcPr>
            <w:tcW w:w="1140" w:type="dxa"/>
            <w:tcBorders>
              <w:top w:val="nil"/>
              <w:left w:val="nil"/>
              <w:bottom w:val="nil"/>
              <w:right w:val="single" w:sz="4" w:space="0" w:color="auto"/>
            </w:tcBorders>
            <w:shd w:val="clear" w:color="000000" w:fill="FFFFFF"/>
            <w:noWrap/>
            <w:vAlign w:val="bottom"/>
            <w:hideMark/>
          </w:tcPr>
          <w:p w14:paraId="74982F61"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8.8</w:t>
            </w:r>
          </w:p>
        </w:tc>
        <w:tc>
          <w:tcPr>
            <w:tcW w:w="940" w:type="dxa"/>
            <w:tcBorders>
              <w:top w:val="nil"/>
              <w:left w:val="nil"/>
              <w:bottom w:val="nil"/>
              <w:right w:val="nil"/>
            </w:tcBorders>
            <w:shd w:val="clear" w:color="000000" w:fill="FFFFFF"/>
            <w:noWrap/>
            <w:vAlign w:val="bottom"/>
            <w:hideMark/>
          </w:tcPr>
          <w:p w14:paraId="0D5E9DB8"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9.0</w:t>
            </w:r>
          </w:p>
        </w:tc>
        <w:tc>
          <w:tcPr>
            <w:tcW w:w="1120" w:type="dxa"/>
            <w:tcBorders>
              <w:top w:val="nil"/>
              <w:left w:val="single" w:sz="4" w:space="0" w:color="auto"/>
              <w:bottom w:val="nil"/>
              <w:right w:val="single" w:sz="4" w:space="0" w:color="auto"/>
            </w:tcBorders>
            <w:shd w:val="clear" w:color="000000" w:fill="FFFFFF"/>
            <w:noWrap/>
            <w:vAlign w:val="bottom"/>
            <w:hideMark/>
          </w:tcPr>
          <w:p w14:paraId="01D54A87"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0.3</w:t>
            </w:r>
          </w:p>
        </w:tc>
        <w:tc>
          <w:tcPr>
            <w:tcW w:w="1120" w:type="dxa"/>
            <w:tcBorders>
              <w:top w:val="nil"/>
              <w:left w:val="nil"/>
              <w:bottom w:val="nil"/>
              <w:right w:val="single" w:sz="4" w:space="0" w:color="auto"/>
            </w:tcBorders>
            <w:shd w:val="clear" w:color="000000" w:fill="FFFFFF"/>
            <w:noWrap/>
            <w:vAlign w:val="bottom"/>
            <w:hideMark/>
          </w:tcPr>
          <w:p w14:paraId="6E98D6BC"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0.5</w:t>
            </w:r>
          </w:p>
        </w:tc>
        <w:tc>
          <w:tcPr>
            <w:tcW w:w="1001" w:type="dxa"/>
            <w:tcBorders>
              <w:top w:val="nil"/>
              <w:left w:val="nil"/>
              <w:bottom w:val="nil"/>
              <w:right w:val="single" w:sz="4" w:space="0" w:color="auto"/>
            </w:tcBorders>
            <w:shd w:val="clear" w:color="000000" w:fill="FFFFFF"/>
            <w:noWrap/>
            <w:vAlign w:val="bottom"/>
            <w:hideMark/>
          </w:tcPr>
          <w:p w14:paraId="7872E541"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0.2</w:t>
            </w:r>
          </w:p>
        </w:tc>
      </w:tr>
      <w:tr w:rsidR="00EA67FE" w:rsidRPr="002821E2" w14:paraId="5C68ECE8" w14:textId="77777777" w:rsidTr="0010736D">
        <w:trPr>
          <w:trHeight w:val="300"/>
        </w:trPr>
        <w:tc>
          <w:tcPr>
            <w:tcW w:w="2830" w:type="dxa"/>
            <w:tcBorders>
              <w:top w:val="nil"/>
              <w:left w:val="single" w:sz="4" w:space="0" w:color="auto"/>
              <w:bottom w:val="nil"/>
              <w:right w:val="single" w:sz="4" w:space="0" w:color="auto"/>
            </w:tcBorders>
            <w:shd w:val="clear" w:color="000000" w:fill="FFFFFF"/>
            <w:noWrap/>
            <w:vAlign w:val="bottom"/>
            <w:hideMark/>
          </w:tcPr>
          <w:p w14:paraId="10E0AF67"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 Hospital Death</w:t>
            </w:r>
          </w:p>
        </w:tc>
        <w:tc>
          <w:tcPr>
            <w:tcW w:w="1110" w:type="dxa"/>
            <w:tcBorders>
              <w:top w:val="nil"/>
              <w:left w:val="nil"/>
              <w:bottom w:val="nil"/>
              <w:right w:val="single" w:sz="4" w:space="0" w:color="auto"/>
            </w:tcBorders>
            <w:shd w:val="clear" w:color="000000" w:fill="FFFFFF"/>
            <w:noWrap/>
            <w:vAlign w:val="bottom"/>
            <w:hideMark/>
          </w:tcPr>
          <w:p w14:paraId="16B5BE4A"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6.85%</w:t>
            </w:r>
          </w:p>
        </w:tc>
        <w:tc>
          <w:tcPr>
            <w:tcW w:w="1140" w:type="dxa"/>
            <w:tcBorders>
              <w:top w:val="nil"/>
              <w:left w:val="nil"/>
              <w:bottom w:val="nil"/>
              <w:right w:val="single" w:sz="4" w:space="0" w:color="auto"/>
            </w:tcBorders>
            <w:shd w:val="clear" w:color="000000" w:fill="FFFFFF"/>
            <w:noWrap/>
            <w:vAlign w:val="bottom"/>
            <w:hideMark/>
          </w:tcPr>
          <w:p w14:paraId="5551D561"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6.60%</w:t>
            </w:r>
          </w:p>
        </w:tc>
        <w:tc>
          <w:tcPr>
            <w:tcW w:w="940" w:type="dxa"/>
            <w:tcBorders>
              <w:top w:val="nil"/>
              <w:left w:val="nil"/>
              <w:bottom w:val="nil"/>
              <w:right w:val="nil"/>
            </w:tcBorders>
            <w:shd w:val="clear" w:color="000000" w:fill="FFFFFF"/>
            <w:noWrap/>
            <w:vAlign w:val="bottom"/>
            <w:hideMark/>
          </w:tcPr>
          <w:p w14:paraId="3F73C26E"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6.40%</w:t>
            </w:r>
          </w:p>
        </w:tc>
        <w:tc>
          <w:tcPr>
            <w:tcW w:w="1120" w:type="dxa"/>
            <w:tcBorders>
              <w:top w:val="nil"/>
              <w:left w:val="single" w:sz="4" w:space="0" w:color="auto"/>
              <w:bottom w:val="nil"/>
              <w:right w:val="single" w:sz="4" w:space="0" w:color="auto"/>
            </w:tcBorders>
            <w:shd w:val="clear" w:color="000000" w:fill="FFFFFF"/>
            <w:noWrap/>
            <w:vAlign w:val="bottom"/>
            <w:hideMark/>
          </w:tcPr>
          <w:p w14:paraId="56F6C7C8"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-0.25%</w:t>
            </w:r>
          </w:p>
        </w:tc>
        <w:tc>
          <w:tcPr>
            <w:tcW w:w="1120" w:type="dxa"/>
            <w:tcBorders>
              <w:top w:val="nil"/>
              <w:left w:val="nil"/>
              <w:bottom w:val="nil"/>
              <w:right w:val="single" w:sz="4" w:space="0" w:color="auto"/>
            </w:tcBorders>
            <w:shd w:val="clear" w:color="000000" w:fill="FFFFFF"/>
            <w:noWrap/>
            <w:vAlign w:val="bottom"/>
            <w:hideMark/>
          </w:tcPr>
          <w:p w14:paraId="545B2AFB"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-0.46%</w:t>
            </w:r>
          </w:p>
        </w:tc>
        <w:tc>
          <w:tcPr>
            <w:tcW w:w="1001" w:type="dxa"/>
            <w:tcBorders>
              <w:top w:val="nil"/>
              <w:left w:val="nil"/>
              <w:bottom w:val="nil"/>
              <w:right w:val="single" w:sz="4" w:space="0" w:color="auto"/>
            </w:tcBorders>
            <w:shd w:val="clear" w:color="000000" w:fill="FFFFFF"/>
            <w:noWrap/>
            <w:vAlign w:val="bottom"/>
            <w:hideMark/>
          </w:tcPr>
          <w:p w14:paraId="488CCB88"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-0.21%</w:t>
            </w:r>
          </w:p>
        </w:tc>
      </w:tr>
      <w:tr w:rsidR="00EA67FE" w:rsidRPr="002821E2" w14:paraId="52F6FE54" w14:textId="77777777" w:rsidTr="0010736D">
        <w:trPr>
          <w:trHeight w:val="300"/>
        </w:trPr>
        <w:tc>
          <w:tcPr>
            <w:tcW w:w="2830" w:type="dxa"/>
            <w:tcBorders>
              <w:top w:val="nil"/>
              <w:left w:val="single" w:sz="4" w:space="0" w:color="auto"/>
              <w:bottom w:val="nil"/>
              <w:right w:val="single" w:sz="4" w:space="0" w:color="auto"/>
            </w:tcBorders>
            <w:shd w:val="clear" w:color="000000" w:fill="FFFFFF"/>
            <w:noWrap/>
            <w:vAlign w:val="bottom"/>
            <w:hideMark/>
          </w:tcPr>
          <w:p w14:paraId="40556B94"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Travel Distance (miles)</w:t>
            </w:r>
          </w:p>
        </w:tc>
        <w:tc>
          <w:tcPr>
            <w:tcW w:w="1110" w:type="dxa"/>
            <w:tcBorders>
              <w:top w:val="nil"/>
              <w:left w:val="nil"/>
              <w:bottom w:val="nil"/>
              <w:right w:val="single" w:sz="4" w:space="0" w:color="auto"/>
            </w:tcBorders>
            <w:shd w:val="clear" w:color="000000" w:fill="FFFFFF"/>
            <w:noWrap/>
            <w:vAlign w:val="bottom"/>
            <w:hideMark/>
          </w:tcPr>
          <w:p w14:paraId="280CEACD"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44.0</w:t>
            </w:r>
          </w:p>
        </w:tc>
        <w:tc>
          <w:tcPr>
            <w:tcW w:w="1140" w:type="dxa"/>
            <w:tcBorders>
              <w:top w:val="nil"/>
              <w:left w:val="nil"/>
              <w:bottom w:val="nil"/>
              <w:right w:val="single" w:sz="4" w:space="0" w:color="auto"/>
            </w:tcBorders>
            <w:shd w:val="clear" w:color="000000" w:fill="FFFFFF"/>
            <w:noWrap/>
            <w:vAlign w:val="bottom"/>
            <w:hideMark/>
          </w:tcPr>
          <w:p w14:paraId="129892BE"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53.6</w:t>
            </w:r>
          </w:p>
        </w:tc>
        <w:tc>
          <w:tcPr>
            <w:tcW w:w="940" w:type="dxa"/>
            <w:tcBorders>
              <w:top w:val="nil"/>
              <w:left w:val="nil"/>
              <w:bottom w:val="nil"/>
              <w:right w:val="nil"/>
            </w:tcBorders>
            <w:shd w:val="clear" w:color="000000" w:fill="FFFFFF"/>
            <w:noWrap/>
            <w:vAlign w:val="bottom"/>
            <w:hideMark/>
          </w:tcPr>
          <w:p w14:paraId="02423574"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59.0</w:t>
            </w:r>
          </w:p>
        </w:tc>
        <w:tc>
          <w:tcPr>
            <w:tcW w:w="1120" w:type="dxa"/>
            <w:tcBorders>
              <w:top w:val="nil"/>
              <w:left w:val="single" w:sz="4" w:space="0" w:color="auto"/>
              <w:bottom w:val="nil"/>
              <w:right w:val="single" w:sz="4" w:space="0" w:color="auto"/>
            </w:tcBorders>
            <w:shd w:val="clear" w:color="000000" w:fill="FFFFFF"/>
            <w:noWrap/>
            <w:vAlign w:val="bottom"/>
            <w:hideMark/>
          </w:tcPr>
          <w:p w14:paraId="41095FFC"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9.6</w:t>
            </w:r>
          </w:p>
        </w:tc>
        <w:tc>
          <w:tcPr>
            <w:tcW w:w="1120" w:type="dxa"/>
            <w:tcBorders>
              <w:top w:val="nil"/>
              <w:left w:val="nil"/>
              <w:bottom w:val="nil"/>
              <w:right w:val="single" w:sz="4" w:space="0" w:color="auto"/>
            </w:tcBorders>
            <w:shd w:val="clear" w:color="000000" w:fill="FFFFFF"/>
            <w:noWrap/>
            <w:vAlign w:val="bottom"/>
            <w:hideMark/>
          </w:tcPr>
          <w:p w14:paraId="1FB40CE9"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15.0</w:t>
            </w:r>
          </w:p>
        </w:tc>
        <w:tc>
          <w:tcPr>
            <w:tcW w:w="1001" w:type="dxa"/>
            <w:tcBorders>
              <w:top w:val="nil"/>
              <w:left w:val="nil"/>
              <w:bottom w:val="nil"/>
              <w:right w:val="single" w:sz="4" w:space="0" w:color="auto"/>
            </w:tcBorders>
            <w:shd w:val="clear" w:color="000000" w:fill="FFFFFF"/>
            <w:noWrap/>
            <w:vAlign w:val="bottom"/>
            <w:hideMark/>
          </w:tcPr>
          <w:p w14:paraId="59600043"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5.4</w:t>
            </w:r>
          </w:p>
        </w:tc>
      </w:tr>
      <w:tr w:rsidR="00EA67FE" w:rsidRPr="002821E2" w14:paraId="08801C8B" w14:textId="77777777" w:rsidTr="0010736D">
        <w:trPr>
          <w:trHeight w:val="300"/>
        </w:trPr>
        <w:tc>
          <w:tcPr>
            <w:tcW w:w="2830" w:type="dxa"/>
            <w:tcBorders>
              <w:top w:val="nil"/>
              <w:left w:val="single" w:sz="4" w:space="0" w:color="auto"/>
              <w:bottom w:val="nil"/>
              <w:right w:val="single" w:sz="4" w:space="0" w:color="auto"/>
            </w:tcBorders>
            <w:shd w:val="clear" w:color="000000" w:fill="FFFFFF"/>
            <w:noWrap/>
            <w:vAlign w:val="bottom"/>
            <w:hideMark/>
          </w:tcPr>
          <w:p w14:paraId="6887BD3F"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Life Years (undiscounted)</w:t>
            </w:r>
          </w:p>
        </w:tc>
        <w:tc>
          <w:tcPr>
            <w:tcW w:w="1110" w:type="dxa"/>
            <w:tcBorders>
              <w:top w:val="nil"/>
              <w:left w:val="nil"/>
              <w:bottom w:val="nil"/>
              <w:right w:val="single" w:sz="4" w:space="0" w:color="auto"/>
            </w:tcBorders>
            <w:shd w:val="clear" w:color="000000" w:fill="FFFFFF"/>
            <w:noWrap/>
            <w:vAlign w:val="bottom"/>
            <w:hideMark/>
          </w:tcPr>
          <w:p w14:paraId="3A7406D5"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16.728</w:t>
            </w:r>
          </w:p>
        </w:tc>
        <w:tc>
          <w:tcPr>
            <w:tcW w:w="1140" w:type="dxa"/>
            <w:tcBorders>
              <w:top w:val="nil"/>
              <w:left w:val="nil"/>
              <w:bottom w:val="nil"/>
              <w:right w:val="single" w:sz="4" w:space="0" w:color="auto"/>
            </w:tcBorders>
            <w:shd w:val="clear" w:color="000000" w:fill="FFFFFF"/>
            <w:noWrap/>
            <w:vAlign w:val="bottom"/>
            <w:hideMark/>
          </w:tcPr>
          <w:p w14:paraId="1036F744"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16.784</w:t>
            </w:r>
          </w:p>
        </w:tc>
        <w:tc>
          <w:tcPr>
            <w:tcW w:w="940" w:type="dxa"/>
            <w:tcBorders>
              <w:top w:val="nil"/>
              <w:left w:val="nil"/>
              <w:bottom w:val="nil"/>
              <w:right w:val="nil"/>
            </w:tcBorders>
            <w:shd w:val="clear" w:color="000000" w:fill="FFFFFF"/>
            <w:noWrap/>
            <w:vAlign w:val="bottom"/>
            <w:hideMark/>
          </w:tcPr>
          <w:p w14:paraId="27B8B609"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16.830</w:t>
            </w:r>
          </w:p>
        </w:tc>
        <w:tc>
          <w:tcPr>
            <w:tcW w:w="1120" w:type="dxa"/>
            <w:tcBorders>
              <w:top w:val="nil"/>
              <w:left w:val="single" w:sz="4" w:space="0" w:color="auto"/>
              <w:bottom w:val="nil"/>
              <w:right w:val="single" w:sz="4" w:space="0" w:color="auto"/>
            </w:tcBorders>
            <w:shd w:val="clear" w:color="000000" w:fill="FFFFFF"/>
            <w:noWrap/>
            <w:vAlign w:val="bottom"/>
            <w:hideMark/>
          </w:tcPr>
          <w:p w14:paraId="742C31EF"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0.056</w:t>
            </w:r>
          </w:p>
        </w:tc>
        <w:tc>
          <w:tcPr>
            <w:tcW w:w="1120" w:type="dxa"/>
            <w:tcBorders>
              <w:top w:val="nil"/>
              <w:left w:val="nil"/>
              <w:bottom w:val="nil"/>
              <w:right w:val="single" w:sz="4" w:space="0" w:color="auto"/>
            </w:tcBorders>
            <w:shd w:val="clear" w:color="000000" w:fill="FFFFFF"/>
            <w:noWrap/>
            <w:vAlign w:val="bottom"/>
            <w:hideMark/>
          </w:tcPr>
          <w:p w14:paraId="5E84A6A4"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0.102</w:t>
            </w:r>
          </w:p>
        </w:tc>
        <w:tc>
          <w:tcPr>
            <w:tcW w:w="1001" w:type="dxa"/>
            <w:tcBorders>
              <w:top w:val="nil"/>
              <w:left w:val="nil"/>
              <w:bottom w:val="nil"/>
              <w:right w:val="single" w:sz="4" w:space="0" w:color="auto"/>
            </w:tcBorders>
            <w:shd w:val="clear" w:color="000000" w:fill="FFFFFF"/>
            <w:noWrap/>
            <w:vAlign w:val="bottom"/>
            <w:hideMark/>
          </w:tcPr>
          <w:p w14:paraId="21F9D57F"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0.046</w:t>
            </w:r>
          </w:p>
        </w:tc>
      </w:tr>
      <w:tr w:rsidR="00EA67FE" w:rsidRPr="002821E2" w14:paraId="3BF9555E" w14:textId="77777777" w:rsidTr="0010736D">
        <w:trPr>
          <w:trHeight w:val="300"/>
        </w:trPr>
        <w:tc>
          <w:tcPr>
            <w:tcW w:w="2830" w:type="dxa"/>
            <w:tcBorders>
              <w:top w:val="nil"/>
              <w:left w:val="single" w:sz="4" w:space="0" w:color="auto"/>
              <w:bottom w:val="nil"/>
              <w:right w:val="single" w:sz="4" w:space="0" w:color="auto"/>
            </w:tcBorders>
            <w:shd w:val="clear" w:color="000000" w:fill="FFFFFF"/>
            <w:noWrap/>
            <w:vAlign w:val="bottom"/>
            <w:hideMark/>
          </w:tcPr>
          <w:p w14:paraId="35D3A4D6"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QALYs (undiscounted)</w:t>
            </w:r>
          </w:p>
        </w:tc>
        <w:tc>
          <w:tcPr>
            <w:tcW w:w="1110" w:type="dxa"/>
            <w:tcBorders>
              <w:top w:val="nil"/>
              <w:left w:val="nil"/>
              <w:bottom w:val="nil"/>
              <w:right w:val="single" w:sz="4" w:space="0" w:color="auto"/>
            </w:tcBorders>
            <w:shd w:val="clear" w:color="000000" w:fill="FFFFFF"/>
            <w:noWrap/>
            <w:vAlign w:val="bottom"/>
            <w:hideMark/>
          </w:tcPr>
          <w:p w14:paraId="13678341"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10.670</w:t>
            </w:r>
          </w:p>
        </w:tc>
        <w:tc>
          <w:tcPr>
            <w:tcW w:w="1140" w:type="dxa"/>
            <w:tcBorders>
              <w:top w:val="nil"/>
              <w:left w:val="nil"/>
              <w:bottom w:val="nil"/>
              <w:right w:val="single" w:sz="4" w:space="0" w:color="auto"/>
            </w:tcBorders>
            <w:shd w:val="clear" w:color="000000" w:fill="FFFFFF"/>
            <w:noWrap/>
            <w:vAlign w:val="bottom"/>
            <w:hideMark/>
          </w:tcPr>
          <w:p w14:paraId="05232278"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10.714</w:t>
            </w:r>
          </w:p>
        </w:tc>
        <w:tc>
          <w:tcPr>
            <w:tcW w:w="940" w:type="dxa"/>
            <w:tcBorders>
              <w:top w:val="nil"/>
              <w:left w:val="nil"/>
              <w:bottom w:val="nil"/>
              <w:right w:val="nil"/>
            </w:tcBorders>
            <w:shd w:val="clear" w:color="000000" w:fill="FFFFFF"/>
            <w:noWrap/>
            <w:vAlign w:val="bottom"/>
            <w:hideMark/>
          </w:tcPr>
          <w:p w14:paraId="2FEDFE82"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10.750</w:t>
            </w:r>
          </w:p>
        </w:tc>
        <w:tc>
          <w:tcPr>
            <w:tcW w:w="1120" w:type="dxa"/>
            <w:tcBorders>
              <w:top w:val="nil"/>
              <w:left w:val="single" w:sz="4" w:space="0" w:color="auto"/>
              <w:bottom w:val="nil"/>
              <w:right w:val="single" w:sz="4" w:space="0" w:color="auto"/>
            </w:tcBorders>
            <w:shd w:val="clear" w:color="000000" w:fill="FFFFFF"/>
            <w:noWrap/>
            <w:vAlign w:val="bottom"/>
            <w:hideMark/>
          </w:tcPr>
          <w:p w14:paraId="58497B72"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0.044</w:t>
            </w:r>
          </w:p>
        </w:tc>
        <w:tc>
          <w:tcPr>
            <w:tcW w:w="1120" w:type="dxa"/>
            <w:tcBorders>
              <w:top w:val="nil"/>
              <w:left w:val="nil"/>
              <w:bottom w:val="nil"/>
              <w:right w:val="single" w:sz="4" w:space="0" w:color="auto"/>
            </w:tcBorders>
            <w:shd w:val="clear" w:color="000000" w:fill="FFFFFF"/>
            <w:noWrap/>
            <w:vAlign w:val="bottom"/>
            <w:hideMark/>
          </w:tcPr>
          <w:p w14:paraId="1611A36D"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0.080</w:t>
            </w:r>
          </w:p>
        </w:tc>
        <w:tc>
          <w:tcPr>
            <w:tcW w:w="1001" w:type="dxa"/>
            <w:tcBorders>
              <w:top w:val="nil"/>
              <w:left w:val="nil"/>
              <w:bottom w:val="nil"/>
              <w:right w:val="single" w:sz="4" w:space="0" w:color="auto"/>
            </w:tcBorders>
            <w:shd w:val="clear" w:color="000000" w:fill="FFFFFF"/>
            <w:noWrap/>
            <w:vAlign w:val="bottom"/>
            <w:hideMark/>
          </w:tcPr>
          <w:p w14:paraId="3DB74C5D"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0.036</w:t>
            </w:r>
          </w:p>
        </w:tc>
      </w:tr>
      <w:tr w:rsidR="00EA67FE" w:rsidRPr="002821E2" w14:paraId="2183E3EC" w14:textId="77777777" w:rsidTr="0010736D">
        <w:trPr>
          <w:trHeight w:val="300"/>
        </w:trPr>
        <w:tc>
          <w:tcPr>
            <w:tcW w:w="2830" w:type="dxa"/>
            <w:tcBorders>
              <w:top w:val="nil"/>
              <w:left w:val="single" w:sz="4" w:space="0" w:color="auto"/>
              <w:bottom w:val="nil"/>
              <w:right w:val="single" w:sz="4" w:space="0" w:color="auto"/>
            </w:tcBorders>
            <w:shd w:val="clear" w:color="000000" w:fill="FFFFFF"/>
            <w:noWrap/>
            <w:vAlign w:val="bottom"/>
            <w:hideMark/>
          </w:tcPr>
          <w:p w14:paraId="674CB8DC"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lastRenderedPageBreak/>
              <w:t>Life Years (discounted)</w:t>
            </w:r>
          </w:p>
        </w:tc>
        <w:tc>
          <w:tcPr>
            <w:tcW w:w="1110" w:type="dxa"/>
            <w:tcBorders>
              <w:top w:val="nil"/>
              <w:left w:val="nil"/>
              <w:bottom w:val="nil"/>
              <w:right w:val="single" w:sz="4" w:space="0" w:color="auto"/>
            </w:tcBorders>
            <w:shd w:val="clear" w:color="000000" w:fill="FFFFFF"/>
            <w:noWrap/>
            <w:vAlign w:val="bottom"/>
            <w:hideMark/>
          </w:tcPr>
          <w:p w14:paraId="055CB53B"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11.092</w:t>
            </w:r>
          </w:p>
        </w:tc>
        <w:tc>
          <w:tcPr>
            <w:tcW w:w="1140" w:type="dxa"/>
            <w:tcBorders>
              <w:top w:val="nil"/>
              <w:left w:val="nil"/>
              <w:bottom w:val="nil"/>
              <w:right w:val="single" w:sz="4" w:space="0" w:color="auto"/>
            </w:tcBorders>
            <w:shd w:val="clear" w:color="000000" w:fill="FFFFFF"/>
            <w:noWrap/>
            <w:vAlign w:val="bottom"/>
            <w:hideMark/>
          </w:tcPr>
          <w:p w14:paraId="50A13BB9"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11.122</w:t>
            </w:r>
          </w:p>
        </w:tc>
        <w:tc>
          <w:tcPr>
            <w:tcW w:w="940" w:type="dxa"/>
            <w:tcBorders>
              <w:top w:val="nil"/>
              <w:left w:val="nil"/>
              <w:bottom w:val="nil"/>
              <w:right w:val="nil"/>
            </w:tcBorders>
            <w:shd w:val="clear" w:color="000000" w:fill="FFFFFF"/>
            <w:noWrap/>
            <w:vAlign w:val="bottom"/>
            <w:hideMark/>
          </w:tcPr>
          <w:p w14:paraId="547D1740"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11.146</w:t>
            </w:r>
          </w:p>
        </w:tc>
        <w:tc>
          <w:tcPr>
            <w:tcW w:w="1120" w:type="dxa"/>
            <w:tcBorders>
              <w:top w:val="nil"/>
              <w:left w:val="single" w:sz="4" w:space="0" w:color="auto"/>
              <w:bottom w:val="nil"/>
              <w:right w:val="single" w:sz="4" w:space="0" w:color="auto"/>
            </w:tcBorders>
            <w:shd w:val="clear" w:color="000000" w:fill="FFFFFF"/>
            <w:noWrap/>
            <w:vAlign w:val="bottom"/>
            <w:hideMark/>
          </w:tcPr>
          <w:p w14:paraId="5DF1D36E"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0.030</w:t>
            </w:r>
          </w:p>
        </w:tc>
        <w:tc>
          <w:tcPr>
            <w:tcW w:w="1120" w:type="dxa"/>
            <w:tcBorders>
              <w:top w:val="nil"/>
              <w:left w:val="nil"/>
              <w:bottom w:val="nil"/>
              <w:right w:val="single" w:sz="4" w:space="0" w:color="auto"/>
            </w:tcBorders>
            <w:shd w:val="clear" w:color="000000" w:fill="FFFFFF"/>
            <w:noWrap/>
            <w:vAlign w:val="bottom"/>
            <w:hideMark/>
          </w:tcPr>
          <w:p w14:paraId="2149135B"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0.054</w:t>
            </w:r>
          </w:p>
        </w:tc>
        <w:tc>
          <w:tcPr>
            <w:tcW w:w="1001" w:type="dxa"/>
            <w:tcBorders>
              <w:top w:val="nil"/>
              <w:left w:val="nil"/>
              <w:bottom w:val="nil"/>
              <w:right w:val="single" w:sz="4" w:space="0" w:color="auto"/>
            </w:tcBorders>
            <w:shd w:val="clear" w:color="000000" w:fill="FFFFFF"/>
            <w:noWrap/>
            <w:vAlign w:val="bottom"/>
            <w:hideMark/>
          </w:tcPr>
          <w:p w14:paraId="0B784F39"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0.024</w:t>
            </w:r>
          </w:p>
        </w:tc>
      </w:tr>
      <w:tr w:rsidR="00EA67FE" w:rsidRPr="002821E2" w14:paraId="07A138C5" w14:textId="77777777" w:rsidTr="0010736D">
        <w:trPr>
          <w:trHeight w:val="300"/>
        </w:trPr>
        <w:tc>
          <w:tcPr>
            <w:tcW w:w="2830" w:type="dxa"/>
            <w:tcBorders>
              <w:top w:val="nil"/>
              <w:left w:val="single" w:sz="4" w:space="0" w:color="auto"/>
              <w:bottom w:val="nil"/>
              <w:right w:val="single" w:sz="4" w:space="0" w:color="auto"/>
            </w:tcBorders>
            <w:shd w:val="clear" w:color="000000" w:fill="FFFFFF"/>
            <w:noWrap/>
            <w:vAlign w:val="bottom"/>
            <w:hideMark/>
          </w:tcPr>
          <w:p w14:paraId="5BCBA0A3"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QALYs (discounted)</w:t>
            </w:r>
          </w:p>
        </w:tc>
        <w:tc>
          <w:tcPr>
            <w:tcW w:w="1110" w:type="dxa"/>
            <w:tcBorders>
              <w:top w:val="nil"/>
              <w:left w:val="nil"/>
              <w:bottom w:val="nil"/>
              <w:right w:val="single" w:sz="4" w:space="0" w:color="auto"/>
            </w:tcBorders>
            <w:shd w:val="clear" w:color="000000" w:fill="FFFFFF"/>
            <w:noWrap/>
            <w:vAlign w:val="bottom"/>
            <w:hideMark/>
          </w:tcPr>
          <w:p w14:paraId="2DDE6721"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7.0631</w:t>
            </w:r>
          </w:p>
        </w:tc>
        <w:tc>
          <w:tcPr>
            <w:tcW w:w="1140" w:type="dxa"/>
            <w:tcBorders>
              <w:top w:val="nil"/>
              <w:left w:val="nil"/>
              <w:bottom w:val="nil"/>
              <w:right w:val="single" w:sz="4" w:space="0" w:color="auto"/>
            </w:tcBorders>
            <w:shd w:val="clear" w:color="000000" w:fill="FFFFFF"/>
            <w:noWrap/>
            <w:vAlign w:val="bottom"/>
            <w:hideMark/>
          </w:tcPr>
          <w:p w14:paraId="482735A1"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7.085</w:t>
            </w:r>
          </w:p>
        </w:tc>
        <w:tc>
          <w:tcPr>
            <w:tcW w:w="940" w:type="dxa"/>
            <w:tcBorders>
              <w:top w:val="nil"/>
              <w:left w:val="nil"/>
              <w:bottom w:val="nil"/>
              <w:right w:val="nil"/>
            </w:tcBorders>
            <w:shd w:val="clear" w:color="000000" w:fill="FFFFFF"/>
            <w:noWrap/>
            <w:vAlign w:val="bottom"/>
            <w:hideMark/>
          </w:tcPr>
          <w:p w14:paraId="234136C2"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7.1027</w:t>
            </w:r>
          </w:p>
        </w:tc>
        <w:tc>
          <w:tcPr>
            <w:tcW w:w="1120" w:type="dxa"/>
            <w:tcBorders>
              <w:top w:val="nil"/>
              <w:left w:val="single" w:sz="4" w:space="0" w:color="auto"/>
              <w:bottom w:val="nil"/>
              <w:right w:val="single" w:sz="4" w:space="0" w:color="auto"/>
            </w:tcBorders>
            <w:shd w:val="clear" w:color="000000" w:fill="FFFFFF"/>
            <w:noWrap/>
            <w:vAlign w:val="bottom"/>
            <w:hideMark/>
          </w:tcPr>
          <w:p w14:paraId="17DE7F14"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0.0219</w:t>
            </w:r>
          </w:p>
        </w:tc>
        <w:tc>
          <w:tcPr>
            <w:tcW w:w="1120" w:type="dxa"/>
            <w:tcBorders>
              <w:top w:val="nil"/>
              <w:left w:val="nil"/>
              <w:bottom w:val="nil"/>
              <w:right w:val="single" w:sz="4" w:space="0" w:color="auto"/>
            </w:tcBorders>
            <w:shd w:val="clear" w:color="000000" w:fill="FFFFFF"/>
            <w:noWrap/>
            <w:vAlign w:val="bottom"/>
            <w:hideMark/>
          </w:tcPr>
          <w:p w14:paraId="4DBDEA7F"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0.0396</w:t>
            </w:r>
          </w:p>
        </w:tc>
        <w:tc>
          <w:tcPr>
            <w:tcW w:w="1001" w:type="dxa"/>
            <w:tcBorders>
              <w:top w:val="nil"/>
              <w:left w:val="nil"/>
              <w:bottom w:val="nil"/>
              <w:right w:val="single" w:sz="4" w:space="0" w:color="auto"/>
            </w:tcBorders>
            <w:shd w:val="clear" w:color="000000" w:fill="FFFFFF"/>
            <w:noWrap/>
            <w:vAlign w:val="bottom"/>
            <w:hideMark/>
          </w:tcPr>
          <w:p w14:paraId="09D9E7E0"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0.0177</w:t>
            </w:r>
          </w:p>
        </w:tc>
      </w:tr>
      <w:tr w:rsidR="00EA67FE" w:rsidRPr="002821E2" w14:paraId="16C29E78" w14:textId="77777777" w:rsidTr="0010736D">
        <w:trPr>
          <w:trHeight w:val="300"/>
        </w:trPr>
        <w:tc>
          <w:tcPr>
            <w:tcW w:w="2830" w:type="dxa"/>
            <w:tcBorders>
              <w:top w:val="nil"/>
              <w:left w:val="single" w:sz="4" w:space="0" w:color="auto"/>
              <w:bottom w:val="nil"/>
              <w:right w:val="single" w:sz="4" w:space="0" w:color="auto"/>
            </w:tcBorders>
            <w:shd w:val="clear" w:color="000000" w:fill="FFFFFF"/>
            <w:noWrap/>
            <w:vAlign w:val="bottom"/>
            <w:hideMark/>
          </w:tcPr>
          <w:p w14:paraId="4F0BA07A"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Costs of index admission</w:t>
            </w:r>
          </w:p>
        </w:tc>
        <w:tc>
          <w:tcPr>
            <w:tcW w:w="1110" w:type="dxa"/>
            <w:tcBorders>
              <w:top w:val="nil"/>
              <w:left w:val="nil"/>
              <w:bottom w:val="nil"/>
              <w:right w:val="single" w:sz="4" w:space="0" w:color="auto"/>
            </w:tcBorders>
            <w:shd w:val="clear" w:color="000000" w:fill="FFFFFF"/>
            <w:noWrap/>
            <w:vAlign w:val="bottom"/>
            <w:hideMark/>
          </w:tcPr>
          <w:p w14:paraId="0C184A08"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£10,987</w:t>
            </w:r>
          </w:p>
        </w:tc>
        <w:tc>
          <w:tcPr>
            <w:tcW w:w="1140" w:type="dxa"/>
            <w:tcBorders>
              <w:top w:val="nil"/>
              <w:left w:val="nil"/>
              <w:bottom w:val="nil"/>
              <w:right w:val="single" w:sz="4" w:space="0" w:color="auto"/>
            </w:tcBorders>
            <w:shd w:val="clear" w:color="000000" w:fill="FFFFFF"/>
            <w:noWrap/>
            <w:vAlign w:val="bottom"/>
            <w:hideMark/>
          </w:tcPr>
          <w:p w14:paraId="1ADCC2FD"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£11,687</w:t>
            </w:r>
          </w:p>
        </w:tc>
        <w:tc>
          <w:tcPr>
            <w:tcW w:w="940" w:type="dxa"/>
            <w:tcBorders>
              <w:top w:val="nil"/>
              <w:left w:val="nil"/>
              <w:bottom w:val="nil"/>
              <w:right w:val="nil"/>
            </w:tcBorders>
            <w:shd w:val="clear" w:color="000000" w:fill="FFFFFF"/>
            <w:noWrap/>
            <w:vAlign w:val="bottom"/>
            <w:hideMark/>
          </w:tcPr>
          <w:p w14:paraId="22313296"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£12,302</w:t>
            </w:r>
          </w:p>
        </w:tc>
        <w:tc>
          <w:tcPr>
            <w:tcW w:w="1120" w:type="dxa"/>
            <w:tcBorders>
              <w:top w:val="nil"/>
              <w:left w:val="single" w:sz="4" w:space="0" w:color="auto"/>
              <w:bottom w:val="nil"/>
              <w:right w:val="single" w:sz="4" w:space="0" w:color="auto"/>
            </w:tcBorders>
            <w:shd w:val="clear" w:color="000000" w:fill="FFFFFF"/>
            <w:noWrap/>
            <w:vAlign w:val="bottom"/>
            <w:hideMark/>
          </w:tcPr>
          <w:p w14:paraId="546E73B1"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£700</w:t>
            </w:r>
          </w:p>
        </w:tc>
        <w:tc>
          <w:tcPr>
            <w:tcW w:w="1120" w:type="dxa"/>
            <w:tcBorders>
              <w:top w:val="nil"/>
              <w:left w:val="nil"/>
              <w:bottom w:val="nil"/>
              <w:right w:val="single" w:sz="4" w:space="0" w:color="auto"/>
            </w:tcBorders>
            <w:shd w:val="clear" w:color="000000" w:fill="FFFFFF"/>
            <w:noWrap/>
            <w:vAlign w:val="bottom"/>
            <w:hideMark/>
          </w:tcPr>
          <w:p w14:paraId="2C5926EB"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£1,315</w:t>
            </w:r>
          </w:p>
        </w:tc>
        <w:tc>
          <w:tcPr>
            <w:tcW w:w="1001" w:type="dxa"/>
            <w:tcBorders>
              <w:top w:val="nil"/>
              <w:left w:val="nil"/>
              <w:bottom w:val="nil"/>
              <w:right w:val="single" w:sz="4" w:space="0" w:color="auto"/>
            </w:tcBorders>
            <w:shd w:val="clear" w:color="000000" w:fill="FFFFFF"/>
            <w:noWrap/>
            <w:vAlign w:val="bottom"/>
            <w:hideMark/>
          </w:tcPr>
          <w:p w14:paraId="7336C223"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£615</w:t>
            </w:r>
          </w:p>
        </w:tc>
      </w:tr>
      <w:tr w:rsidR="00EA67FE" w:rsidRPr="002821E2" w14:paraId="4DE1C1CD" w14:textId="77777777" w:rsidTr="0010736D">
        <w:trPr>
          <w:trHeight w:val="300"/>
        </w:trPr>
        <w:tc>
          <w:tcPr>
            <w:tcW w:w="2830" w:type="dxa"/>
            <w:tcBorders>
              <w:top w:val="nil"/>
              <w:left w:val="single" w:sz="4" w:space="0" w:color="auto"/>
              <w:bottom w:val="nil"/>
              <w:right w:val="single" w:sz="4" w:space="0" w:color="auto"/>
            </w:tcBorders>
            <w:shd w:val="clear" w:color="000000" w:fill="FFFFFF"/>
            <w:noWrap/>
            <w:vAlign w:val="bottom"/>
            <w:hideMark/>
          </w:tcPr>
          <w:p w14:paraId="43462ED8"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Total Costs (undiscounted)</w:t>
            </w:r>
          </w:p>
        </w:tc>
        <w:tc>
          <w:tcPr>
            <w:tcW w:w="1110" w:type="dxa"/>
            <w:tcBorders>
              <w:top w:val="nil"/>
              <w:left w:val="nil"/>
              <w:bottom w:val="nil"/>
              <w:right w:val="single" w:sz="4" w:space="0" w:color="auto"/>
            </w:tcBorders>
            <w:shd w:val="clear" w:color="000000" w:fill="FFFFFF"/>
            <w:noWrap/>
            <w:vAlign w:val="bottom"/>
            <w:hideMark/>
          </w:tcPr>
          <w:p w14:paraId="767FF8B8"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£66,864</w:t>
            </w:r>
          </w:p>
        </w:tc>
        <w:tc>
          <w:tcPr>
            <w:tcW w:w="1140" w:type="dxa"/>
            <w:tcBorders>
              <w:top w:val="nil"/>
              <w:left w:val="nil"/>
              <w:bottom w:val="nil"/>
              <w:right w:val="single" w:sz="4" w:space="0" w:color="auto"/>
            </w:tcBorders>
            <w:shd w:val="clear" w:color="000000" w:fill="FFFFFF"/>
            <w:noWrap/>
            <w:vAlign w:val="bottom"/>
            <w:hideMark/>
          </w:tcPr>
          <w:p w14:paraId="2675AC66"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£66,440</w:t>
            </w:r>
          </w:p>
        </w:tc>
        <w:tc>
          <w:tcPr>
            <w:tcW w:w="940" w:type="dxa"/>
            <w:tcBorders>
              <w:top w:val="nil"/>
              <w:left w:val="nil"/>
              <w:bottom w:val="nil"/>
              <w:right w:val="nil"/>
            </w:tcBorders>
            <w:shd w:val="clear" w:color="000000" w:fill="FFFFFF"/>
            <w:noWrap/>
            <w:vAlign w:val="bottom"/>
            <w:hideMark/>
          </w:tcPr>
          <w:p w14:paraId="0B637AC8"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£66,131</w:t>
            </w:r>
          </w:p>
        </w:tc>
        <w:tc>
          <w:tcPr>
            <w:tcW w:w="1120" w:type="dxa"/>
            <w:tcBorders>
              <w:top w:val="nil"/>
              <w:left w:val="single" w:sz="4" w:space="0" w:color="auto"/>
              <w:bottom w:val="nil"/>
              <w:right w:val="single" w:sz="4" w:space="0" w:color="auto"/>
            </w:tcBorders>
            <w:shd w:val="clear" w:color="000000" w:fill="FFFFFF"/>
            <w:noWrap/>
            <w:vAlign w:val="bottom"/>
            <w:hideMark/>
          </w:tcPr>
          <w:p w14:paraId="026A0734"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-£424</w:t>
            </w:r>
          </w:p>
        </w:tc>
        <w:tc>
          <w:tcPr>
            <w:tcW w:w="1120" w:type="dxa"/>
            <w:tcBorders>
              <w:top w:val="nil"/>
              <w:left w:val="nil"/>
              <w:bottom w:val="nil"/>
              <w:right w:val="single" w:sz="4" w:space="0" w:color="auto"/>
            </w:tcBorders>
            <w:shd w:val="clear" w:color="000000" w:fill="FFFFFF"/>
            <w:noWrap/>
            <w:vAlign w:val="bottom"/>
            <w:hideMark/>
          </w:tcPr>
          <w:p w14:paraId="38A30060"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-£734</w:t>
            </w:r>
          </w:p>
        </w:tc>
        <w:tc>
          <w:tcPr>
            <w:tcW w:w="1001" w:type="dxa"/>
            <w:tcBorders>
              <w:top w:val="nil"/>
              <w:left w:val="nil"/>
              <w:bottom w:val="nil"/>
              <w:right w:val="single" w:sz="4" w:space="0" w:color="auto"/>
            </w:tcBorders>
            <w:shd w:val="clear" w:color="000000" w:fill="FFFFFF"/>
            <w:noWrap/>
            <w:vAlign w:val="bottom"/>
            <w:hideMark/>
          </w:tcPr>
          <w:p w14:paraId="60523C57"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-£310</w:t>
            </w:r>
          </w:p>
        </w:tc>
      </w:tr>
      <w:tr w:rsidR="00EA67FE" w:rsidRPr="002821E2" w14:paraId="728C37A9" w14:textId="77777777" w:rsidTr="0010736D">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68D4BA66"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Total Costs (discounted)</w:t>
            </w:r>
          </w:p>
        </w:tc>
        <w:tc>
          <w:tcPr>
            <w:tcW w:w="1110" w:type="dxa"/>
            <w:tcBorders>
              <w:top w:val="nil"/>
              <w:left w:val="nil"/>
              <w:bottom w:val="single" w:sz="4" w:space="0" w:color="auto"/>
              <w:right w:val="single" w:sz="4" w:space="0" w:color="auto"/>
            </w:tcBorders>
            <w:shd w:val="clear" w:color="000000" w:fill="FFFFFF"/>
            <w:noWrap/>
            <w:vAlign w:val="bottom"/>
            <w:hideMark/>
          </w:tcPr>
          <w:p w14:paraId="43FFCE98"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£43,964</w:t>
            </w:r>
          </w:p>
        </w:tc>
        <w:tc>
          <w:tcPr>
            <w:tcW w:w="1140" w:type="dxa"/>
            <w:tcBorders>
              <w:top w:val="nil"/>
              <w:left w:val="nil"/>
              <w:bottom w:val="single" w:sz="4" w:space="0" w:color="auto"/>
              <w:right w:val="single" w:sz="4" w:space="0" w:color="auto"/>
            </w:tcBorders>
            <w:shd w:val="clear" w:color="000000" w:fill="FFFFFF"/>
            <w:noWrap/>
            <w:vAlign w:val="bottom"/>
            <w:hideMark/>
          </w:tcPr>
          <w:p w14:paraId="47A57A81"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£44,124</w:t>
            </w:r>
          </w:p>
        </w:tc>
        <w:tc>
          <w:tcPr>
            <w:tcW w:w="940" w:type="dxa"/>
            <w:tcBorders>
              <w:top w:val="nil"/>
              <w:left w:val="nil"/>
              <w:bottom w:val="nil"/>
              <w:right w:val="nil"/>
            </w:tcBorders>
            <w:shd w:val="clear" w:color="000000" w:fill="FFFFFF"/>
            <w:noWrap/>
            <w:vAlign w:val="bottom"/>
            <w:hideMark/>
          </w:tcPr>
          <w:p w14:paraId="3259862C"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£44,289</w:t>
            </w:r>
          </w:p>
        </w:tc>
        <w:tc>
          <w:tcPr>
            <w:tcW w:w="1120" w:type="dxa"/>
            <w:tcBorders>
              <w:top w:val="nil"/>
              <w:left w:val="single" w:sz="4" w:space="0" w:color="auto"/>
              <w:bottom w:val="nil"/>
              <w:right w:val="single" w:sz="4" w:space="0" w:color="auto"/>
            </w:tcBorders>
            <w:shd w:val="clear" w:color="000000" w:fill="FFFFFF"/>
            <w:noWrap/>
            <w:vAlign w:val="bottom"/>
            <w:hideMark/>
          </w:tcPr>
          <w:p w14:paraId="2F7D219F"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£160</w:t>
            </w:r>
          </w:p>
        </w:tc>
        <w:tc>
          <w:tcPr>
            <w:tcW w:w="1120" w:type="dxa"/>
            <w:tcBorders>
              <w:top w:val="nil"/>
              <w:left w:val="nil"/>
              <w:bottom w:val="nil"/>
              <w:right w:val="single" w:sz="4" w:space="0" w:color="auto"/>
            </w:tcBorders>
            <w:shd w:val="clear" w:color="000000" w:fill="FFFFFF"/>
            <w:noWrap/>
            <w:vAlign w:val="bottom"/>
            <w:hideMark/>
          </w:tcPr>
          <w:p w14:paraId="6E7FB038"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£325</w:t>
            </w:r>
          </w:p>
        </w:tc>
        <w:tc>
          <w:tcPr>
            <w:tcW w:w="1001" w:type="dxa"/>
            <w:tcBorders>
              <w:top w:val="nil"/>
              <w:left w:val="nil"/>
              <w:bottom w:val="nil"/>
              <w:right w:val="single" w:sz="4" w:space="0" w:color="auto"/>
            </w:tcBorders>
            <w:shd w:val="clear" w:color="000000" w:fill="FFFFFF"/>
            <w:noWrap/>
            <w:vAlign w:val="bottom"/>
            <w:hideMark/>
          </w:tcPr>
          <w:p w14:paraId="33983DEB"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£165</w:t>
            </w:r>
          </w:p>
        </w:tc>
      </w:tr>
      <w:tr w:rsidR="00EA67FE" w:rsidRPr="002821E2" w14:paraId="0D0C9E2E" w14:textId="77777777" w:rsidTr="0010736D">
        <w:trPr>
          <w:trHeight w:val="300"/>
        </w:trPr>
        <w:tc>
          <w:tcPr>
            <w:tcW w:w="6020"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8403FB1" w14:textId="77777777" w:rsidR="00EA67FE" w:rsidRPr="002821E2" w:rsidRDefault="00EA67FE" w:rsidP="0010736D">
            <w:pPr>
              <w:spacing w:after="0" w:line="240" w:lineRule="auto"/>
              <w:rPr>
                <w:rFonts w:ascii="Calibri" w:eastAsia="Times New Roman" w:hAnsi="Calibri" w:cs="Times New Roman"/>
                <w:color w:val="000000"/>
                <w:sz w:val="22"/>
                <w:lang w:eastAsia="en-GB"/>
              </w:rPr>
            </w:pPr>
            <w:r w:rsidRPr="002821E2">
              <w:rPr>
                <w:rFonts w:ascii="Calibri" w:eastAsia="Times New Roman" w:hAnsi="Calibri" w:cs="Times New Roman"/>
                <w:color w:val="000000"/>
                <w:sz w:val="22"/>
                <w:lang w:eastAsia="en-GB"/>
              </w:rPr>
              <w:t>Incremental Costs per QALYs (ICER)</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14:paraId="23D80EFE" w14:textId="77777777" w:rsidR="00EA67FE" w:rsidRPr="002821E2" w:rsidRDefault="00EA67FE" w:rsidP="0010736D">
            <w:pPr>
              <w:spacing w:after="0" w:line="240" w:lineRule="auto"/>
              <w:jc w:val="right"/>
              <w:rPr>
                <w:rFonts w:ascii="Calibri" w:eastAsia="Times New Roman" w:hAnsi="Calibri" w:cs="Times New Roman"/>
                <w:b/>
                <w:bCs/>
                <w:color w:val="FF0000"/>
                <w:sz w:val="22"/>
                <w:lang w:eastAsia="en-GB"/>
              </w:rPr>
            </w:pPr>
            <w:r w:rsidRPr="002821E2">
              <w:rPr>
                <w:rFonts w:ascii="Calibri" w:eastAsia="Times New Roman" w:hAnsi="Calibri" w:cs="Times New Roman"/>
                <w:b/>
                <w:bCs/>
                <w:color w:val="FF0000"/>
                <w:sz w:val="22"/>
                <w:lang w:eastAsia="en-GB"/>
              </w:rPr>
              <w:t>£7,312.9</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14:paraId="32C3E7C3" w14:textId="77777777" w:rsidR="00EA67FE" w:rsidRPr="002821E2" w:rsidRDefault="00EA67FE" w:rsidP="0010736D">
            <w:pPr>
              <w:spacing w:after="0" w:line="240" w:lineRule="auto"/>
              <w:jc w:val="right"/>
              <w:rPr>
                <w:rFonts w:ascii="Calibri" w:eastAsia="Times New Roman" w:hAnsi="Calibri" w:cs="Times New Roman"/>
                <w:b/>
                <w:bCs/>
                <w:color w:val="FF0000"/>
                <w:sz w:val="22"/>
                <w:lang w:eastAsia="en-GB"/>
              </w:rPr>
            </w:pPr>
            <w:r w:rsidRPr="002821E2">
              <w:rPr>
                <w:rFonts w:ascii="Calibri" w:eastAsia="Times New Roman" w:hAnsi="Calibri" w:cs="Times New Roman"/>
                <w:b/>
                <w:bCs/>
                <w:color w:val="FF0000"/>
                <w:sz w:val="22"/>
                <w:lang w:eastAsia="en-GB"/>
              </w:rPr>
              <w:t>£8,218.0</w:t>
            </w:r>
          </w:p>
        </w:tc>
        <w:tc>
          <w:tcPr>
            <w:tcW w:w="1001" w:type="dxa"/>
            <w:tcBorders>
              <w:top w:val="single" w:sz="4" w:space="0" w:color="auto"/>
              <w:left w:val="nil"/>
              <w:bottom w:val="single" w:sz="4" w:space="0" w:color="auto"/>
              <w:right w:val="single" w:sz="4" w:space="0" w:color="auto"/>
            </w:tcBorders>
            <w:shd w:val="clear" w:color="000000" w:fill="FFFFFF"/>
            <w:noWrap/>
            <w:vAlign w:val="bottom"/>
            <w:hideMark/>
          </w:tcPr>
          <w:p w14:paraId="209EF43D" w14:textId="77777777" w:rsidR="00EA67FE" w:rsidRPr="002821E2" w:rsidRDefault="00EA67FE" w:rsidP="0010736D">
            <w:pPr>
              <w:spacing w:after="0" w:line="240" w:lineRule="auto"/>
              <w:jc w:val="right"/>
              <w:rPr>
                <w:rFonts w:ascii="Calibri" w:eastAsia="Times New Roman" w:hAnsi="Calibri" w:cs="Times New Roman"/>
                <w:b/>
                <w:bCs/>
                <w:color w:val="FF0000"/>
                <w:sz w:val="22"/>
                <w:lang w:eastAsia="en-GB"/>
              </w:rPr>
            </w:pPr>
            <w:r w:rsidRPr="002821E2">
              <w:rPr>
                <w:rFonts w:ascii="Calibri" w:eastAsia="Times New Roman" w:hAnsi="Calibri" w:cs="Times New Roman"/>
                <w:b/>
                <w:bCs/>
                <w:color w:val="FF0000"/>
                <w:sz w:val="22"/>
                <w:lang w:eastAsia="en-GB"/>
              </w:rPr>
              <w:t>£9,337.8</w:t>
            </w:r>
          </w:p>
        </w:tc>
      </w:tr>
    </w:tbl>
    <w:p w14:paraId="381D1245" w14:textId="77777777" w:rsidR="00EA67FE" w:rsidRDefault="00EA67FE" w:rsidP="00EA67FE">
      <w:pPr>
        <w:spacing w:line="360" w:lineRule="auto"/>
      </w:pPr>
    </w:p>
    <w:p w14:paraId="4E52A673" w14:textId="77777777" w:rsidR="00EA67FE" w:rsidRDefault="00EA67FE" w:rsidP="00EA67FE">
      <w:pPr>
        <w:spacing w:line="360" w:lineRule="auto"/>
        <w:jc w:val="both"/>
      </w:pPr>
      <w:r>
        <w:t xml:space="preserve">The 100-threshold reconfiguration was associated with an incremental cost per QALY of £9,338 per QALY compared to the 60-threshold reconfiguration. The results suggest that when comparing the three strategies, the 100-threshold reconfiguration is the most cost-effective option. However, it should be noted that we have not considered the feasibility of such reconfigurations of services (i.e. no consideration of capacity constraints) and the model’s results are sensitive to several important assumptions such as whether reconfiguration affecting the proportion of no-operation deaths.  </w:t>
      </w:r>
    </w:p>
    <w:p w14:paraId="53C86B42" w14:textId="77777777" w:rsidR="007B27F2" w:rsidRDefault="007B27F2"/>
    <w:sectPr w:rsidR="007B2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021A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7B2"/>
    <w:rsid w:val="000743C1"/>
    <w:rsid w:val="00762816"/>
    <w:rsid w:val="007B27F2"/>
    <w:rsid w:val="009E57B2"/>
    <w:rsid w:val="00EA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0453"/>
  <w15:chartTrackingRefBased/>
  <w15:docId w15:val="{F59FBDB1-D0B8-4780-ADF2-B75ED729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67FE"/>
    <w:pPr>
      <w:ind w:left="720"/>
      <w:contextualSpacing/>
    </w:pPr>
  </w:style>
  <w:style w:type="character" w:customStyle="1" w:styleId="ListParagraphChar">
    <w:name w:val="List Paragraph Char"/>
    <w:basedOn w:val="DefaultParagraphFont"/>
    <w:link w:val="ListParagraph"/>
    <w:uiPriority w:val="34"/>
    <w:rsid w:val="00EA67FE"/>
  </w:style>
  <w:style w:type="paragraph" w:styleId="Caption">
    <w:name w:val="caption"/>
    <w:basedOn w:val="Normal"/>
    <w:next w:val="Normal"/>
    <w:uiPriority w:val="35"/>
    <w:unhideWhenUsed/>
    <w:qFormat/>
    <w:rsid w:val="00EA67FE"/>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62816"/>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762816"/>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6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microsoft.com/office/2014/relationships/chartEx" Target="charts/chartEx1.xml"/><Relationship Id="rId4" Type="http://schemas.openxmlformats.org/officeDocument/2006/relationships/webSettings" Target="webSettings.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X:\ScHARR\PR_HES_VASCULAR\Thaison\R%20MODELS\Vascular_Model_All\VascularCEmodel\outputs\Final%20Results.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'Decision 60 vs base'!$D$2:$D$73</cx:f>
        <cx:lvl ptCount="72" formatCode="General">
          <cx:pt idx="0">116</cx:pt>
          <cx:pt idx="1">12</cx:pt>
          <cx:pt idx="2">87</cx:pt>
          <cx:pt idx="3">93</cx:pt>
          <cx:pt idx="4">69</cx:pt>
          <cx:pt idx="5">38</cx:pt>
          <cx:pt idx="6">182</cx:pt>
          <cx:pt idx="7">12</cx:pt>
          <cx:pt idx="8">52</cx:pt>
          <cx:pt idx="9">32</cx:pt>
          <cx:pt idx="10">94</cx:pt>
          <cx:pt idx="11">93</cx:pt>
          <cx:pt idx="12">132</cx:pt>
          <cx:pt idx="13">41</cx:pt>
          <cx:pt idx="14">38</cx:pt>
          <cx:pt idx="15">49</cx:pt>
          <cx:pt idx="16">53</cx:pt>
          <cx:pt idx="17">52</cx:pt>
          <cx:pt idx="18">7</cx:pt>
          <cx:pt idx="19">39</cx:pt>
          <cx:pt idx="20">115</cx:pt>
          <cx:pt idx="21">49</cx:pt>
          <cx:pt idx="22">270</cx:pt>
          <cx:pt idx="23">17</cx:pt>
          <cx:pt idx="24">139</cx:pt>
          <cx:pt idx="25">23</cx:pt>
          <cx:pt idx="26">9</cx:pt>
          <cx:pt idx="27">101</cx:pt>
          <cx:pt idx="28">64</cx:pt>
          <cx:pt idx="29">114</cx:pt>
          <cx:pt idx="30">34</cx:pt>
          <cx:pt idx="31">83</cx:pt>
          <cx:pt idx="32">60</cx:pt>
          <cx:pt idx="33">37</cx:pt>
          <cx:pt idx="34">92</cx:pt>
          <cx:pt idx="35">10</cx:pt>
          <cx:pt idx="36">25</cx:pt>
          <cx:pt idx="37">172</cx:pt>
          <cx:pt idx="38">110</cx:pt>
          <cx:pt idx="39">127</cx:pt>
          <cx:pt idx="40">69</cx:pt>
          <cx:pt idx="41">131</cx:pt>
          <cx:pt idx="42">178</cx:pt>
          <cx:pt idx="43">118</cx:pt>
          <cx:pt idx="44">128</cx:pt>
          <cx:pt idx="45">64</cx:pt>
          <cx:pt idx="46">55</cx:pt>
          <cx:pt idx="47">159</cx:pt>
          <cx:pt idx="48">154</cx:pt>
          <cx:pt idx="49">117</cx:pt>
          <cx:pt idx="50">15</cx:pt>
          <cx:pt idx="51">133</cx:pt>
          <cx:pt idx="52">49</cx:pt>
          <cx:pt idx="53">82</cx:pt>
          <cx:pt idx="54">57</cx:pt>
          <cx:pt idx="55">87</cx:pt>
          <cx:pt idx="56">25</cx:pt>
          <cx:pt idx="57">47</cx:pt>
          <cx:pt idx="58">86</cx:pt>
          <cx:pt idx="59">136</cx:pt>
          <cx:pt idx="60">77</cx:pt>
          <cx:pt idx="61">111</cx:pt>
          <cx:pt idx="62">170</cx:pt>
          <cx:pt idx="63">41</cx:pt>
          <cx:pt idx="64">80</cx:pt>
          <cx:pt idx="65">35</cx:pt>
          <cx:pt idx="66">46</cx:pt>
          <cx:pt idx="67">45</cx:pt>
          <cx:pt idx="68">120</cx:pt>
          <cx:pt idx="69">162</cx:pt>
          <cx:pt idx="70">102</cx:pt>
          <cx:pt idx="71">91</cx:pt>
        </cx:lvl>
      </cx:numDim>
    </cx:data>
    <cx:data id="1">
      <cx:numDim type="val">
        <cx:f>'Decision 60 vs base'!$K$2:$K$50</cx:f>
        <cx:lvl ptCount="49" formatCode="General">
          <cx:pt idx="0">116</cx:pt>
          <cx:pt idx="1">95</cx:pt>
          <cx:pt idx="2">109</cx:pt>
          <cx:pt idx="3">69</cx:pt>
          <cx:pt idx="4">195</cx:pt>
          <cx:pt idx="5">65</cx:pt>
          <cx:pt idx="6">94</cx:pt>
          <cx:pt idx="7">110</cx:pt>
          <cx:pt idx="8">136</cx:pt>
          <cx:pt idx="9">122</cx:pt>
          <cx:pt idx="10">101</cx:pt>
          <cx:pt idx="11">146</cx:pt>
          <cx:pt idx="12">103</cx:pt>
          <cx:pt idx="13">287</cx:pt>
          <cx:pt idx="14">148</cx:pt>
          <cx:pt idx="15">113</cx:pt>
          <cx:pt idx="16">84</cx:pt>
          <cx:pt idx="17">143</cx:pt>
          <cx:pt idx="18">84</cx:pt>
          <cx:pt idx="19">63</cx:pt>
          <cx:pt idx="20">97</cx:pt>
          <cx:pt idx="21">182</cx:pt>
          <cx:pt idx="22">111</cx:pt>
          <cx:pt idx="23">127</cx:pt>
          <cx:pt idx="24">70</cx:pt>
          <cx:pt idx="25">164</cx:pt>
          <cx:pt idx="26">180</cx:pt>
          <cx:pt idx="27">131</cx:pt>
          <cx:pt idx="28">133</cx:pt>
          <cx:pt idx="29">73</cx:pt>
          <cx:pt idx="30">160</cx:pt>
          <cx:pt idx="31">157</cx:pt>
          <cx:pt idx="32">117</cx:pt>
          <cx:pt idx="33">142</cx:pt>
          <cx:pt idx="34">75</cx:pt>
          <cx:pt idx="35">87</cx:pt>
          <cx:pt idx="36">105</cx:pt>
          <cx:pt idx="37">88</cx:pt>
          <cx:pt idx="38">86</cx:pt>
          <cx:pt idx="39">137</cx:pt>
          <cx:pt idx="40">79</cx:pt>
          <cx:pt idx="41">137</cx:pt>
          <cx:pt idx="42">181</cx:pt>
          <cx:pt idx="43">80</cx:pt>
          <cx:pt idx="44">66</cx:pt>
          <cx:pt idx="45">144</cx:pt>
          <cx:pt idx="46">178</cx:pt>
          <cx:pt idx="47">148</cx:pt>
          <cx:pt idx="48">94</cx:pt>
        </cx:lvl>
      </cx:numDim>
    </cx:data>
    <cx:data id="2">
      <cx:numDim type="val">
        <cx:f>'Decision 100 vs base'!$K$2:$K$39</cx:f>
        <cx:lvl ptCount="38" formatCode="General">
          <cx:pt idx="0">116</cx:pt>
          <cx:pt idx="1">129</cx:pt>
          <cx:pt idx="2">110</cx:pt>
          <cx:pt idx="3">198</cx:pt>
          <cx:pt idx="4">108</cx:pt>
          <cx:pt idx="5">162</cx:pt>
          <cx:pt idx="6">136</cx:pt>
          <cx:pt idx="7">155</cx:pt>
          <cx:pt idx="8">103</cx:pt>
          <cx:pt idx="9">147</cx:pt>
          <cx:pt idx="10">117</cx:pt>
          <cx:pt idx="11">287</cx:pt>
          <cx:pt idx="12">178</cx:pt>
          <cx:pt idx="13">113</cx:pt>
          <cx:pt idx="14">205</cx:pt>
          <cx:pt idx="15">117</cx:pt>
          <cx:pt idx="16">256</cx:pt>
          <cx:pt idx="17">111</cx:pt>
          <cx:pt idx="18">144</cx:pt>
          <cx:pt idx="19">103</cx:pt>
          <cx:pt idx="20">210</cx:pt>
          <cx:pt idx="21">180</cx:pt>
          <cx:pt idx="22">131</cx:pt>
          <cx:pt idx="23">174</cx:pt>
          <cx:pt idx="24">161</cx:pt>
          <cx:pt idx="25">157</cx:pt>
          <cx:pt idx="26">117</cx:pt>
          <cx:pt idx="27">143</cx:pt>
          <cx:pt idx="28">119</cx:pt>
          <cx:pt idx="29">138</cx:pt>
          <cx:pt idx="30">130</cx:pt>
          <cx:pt idx="31">112</cx:pt>
          <cx:pt idx="32">189</cx:pt>
          <cx:pt idx="33">167</cx:pt>
          <cx:pt idx="34">187</cx:pt>
          <cx:pt idx="35">164</cx:pt>
          <cx:pt idx="36">287</cx:pt>
          <cx:pt idx="37">151</cx:pt>
        </cx:lvl>
      </cx:numDim>
    </cx:data>
  </cx:chartData>
  <cx:chart>
    <cx:plotArea>
      <cx:plotAreaRegion>
        <cx:series layoutId="boxWhisker" uniqueId="{56CEC1D1-74E6-45AD-86AD-5820FA679824}" formatIdx="0">
          <cx:tx>
            <cx:txData>
              <cx:f/>
              <cx:v>Baseline Conf</cx:v>
            </cx:txData>
          </cx:tx>
          <cx:spPr>
            <a:solidFill>
              <a:schemeClr val="bg1"/>
            </a:solidFill>
          </cx:spPr>
          <cx:dataId val="0"/>
          <cx:layoutPr>
            <cx:visibility meanLine="0" meanMarker="1" nonoutliers="1" outliers="1"/>
            <cx:statistics quartileMethod="exclusive"/>
          </cx:layoutPr>
        </cx:series>
        <cx:series layoutId="boxWhisker" uniqueId="{00000002-1E69-4292-9854-CFB948FB0847}">
          <cx:tx>
            <cx:txData>
              <cx:f/>
              <cx:v>New 60_threshold conf</cx:v>
            </cx:txData>
          </cx:tx>
          <cx:spPr>
            <a:solidFill>
              <a:schemeClr val="bg2">
                <a:lumMod val="90000"/>
              </a:schemeClr>
            </a:solidFill>
          </cx:spPr>
          <cx:dataId val="1"/>
          <cx:layoutPr>
            <cx:visibility meanLine="0" nonoutliers="1"/>
            <cx:statistics quartileMethod="exclusive"/>
          </cx:layoutPr>
        </cx:series>
        <cx:series layoutId="boxWhisker" uniqueId="{00000000-70E7-4748-9EF5-C263E5E2846E}">
          <cx:tx>
            <cx:txData>
              <cx:f/>
              <cx:v>New 100-threshold conf</cx:v>
            </cx:txData>
          </cx:tx>
          <cx:dataId val="2"/>
          <cx:layoutPr>
            <cx:statistics quartileMethod="exclusive"/>
          </cx:layoutPr>
        </cx:series>
      </cx:plotAreaRegion>
      <cx:axis id="0" hidden="1">
        <cx:catScaling gapWidth="1"/>
        <cx:tickLabels/>
      </cx:axis>
      <cx:axis id="1">
        <cx:valScaling/>
        <cx:title>
          <cx:tx>
            <cx:txData>
              <cx:v>Annual AAA repairs</cx:v>
            </cx:txData>
          </cx:tx>
          <cx:txPr>
            <a:bodyPr spcFirstLastPara="1" vertOverflow="ellipsis" wrap="square" lIns="0" tIns="0" rIns="0" bIns="0" anchor="ctr" anchorCtr="1"/>
            <a:lstStyle/>
            <a:p>
              <a:pPr algn="ctr">
                <a:defRPr/>
              </a:pPr>
              <a:r>
                <a:rPr lang="en-US"/>
                <a:t>Annual AAA repairs</a:t>
              </a:r>
            </a:p>
          </cx:txPr>
        </cx:title>
        <cx:tickLabels/>
      </cx:axis>
    </cx:plotArea>
    <cx:legend pos="t"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bodyPr rot="-60000000" vert="horz"/>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bodyPr rot="-60000000" vert="horz"/>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rot="0" vert="horz"/>
  </cs:title>
  <cs:trendline>
    <cs:lnRef idx="0"/>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bodyPr rot="-60000000" vert="horz"/>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Thaison Tong</dc:creator>
  <cp:keywords/>
  <dc:description/>
  <cp:lastModifiedBy>Jonathan</cp:lastModifiedBy>
  <cp:revision>3</cp:revision>
  <dcterms:created xsi:type="dcterms:W3CDTF">2019-05-31T07:50:00Z</dcterms:created>
  <dcterms:modified xsi:type="dcterms:W3CDTF">2021-01-12T06:50:00Z</dcterms:modified>
</cp:coreProperties>
</file>