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A3D70" w14:textId="455B23AC" w:rsidR="00BC7E9F" w:rsidRDefault="00A53333" w:rsidP="007C6084">
      <w:pPr>
        <w:jc w:val="center"/>
        <w:rPr>
          <w:b/>
          <w:sz w:val="28"/>
        </w:rPr>
      </w:pPr>
      <w:r>
        <w:rPr>
          <w:rFonts w:cs="Times New Roman"/>
          <w:b/>
        </w:rPr>
        <w:t>Report Supplementary Materials 5</w:t>
      </w:r>
    </w:p>
    <w:p w14:paraId="0C8F3227" w14:textId="77777777" w:rsidR="00BC7E9F" w:rsidRDefault="00BC7E9F" w:rsidP="007C6084">
      <w:pPr>
        <w:jc w:val="center"/>
        <w:rPr>
          <w:b/>
          <w:sz w:val="28"/>
        </w:rPr>
      </w:pPr>
    </w:p>
    <w:p w14:paraId="05F8EF56" w14:textId="7D190ED6" w:rsidR="00A53333" w:rsidRDefault="00A53333" w:rsidP="00A53333">
      <w:pPr>
        <w:jc w:val="both"/>
        <w:rPr>
          <w:rFonts w:cs="Times New Roman"/>
          <w:b/>
        </w:rPr>
      </w:pPr>
    </w:p>
    <w:p w14:paraId="273BA9BF" w14:textId="5474681B" w:rsidR="00CD4CA3" w:rsidRDefault="00AE12A6" w:rsidP="007C6084">
      <w:pPr>
        <w:jc w:val="center"/>
        <w:rPr>
          <w:b/>
          <w:sz w:val="28"/>
        </w:rPr>
      </w:pPr>
      <w:r>
        <w:rPr>
          <w:b/>
          <w:sz w:val="28"/>
        </w:rPr>
        <w:t>ESTIMATING T</w:t>
      </w:r>
      <w:r w:rsidR="004F606E">
        <w:rPr>
          <w:b/>
          <w:sz w:val="28"/>
        </w:rPr>
        <w:t xml:space="preserve">HE HOSPITAL COSTS OF </w:t>
      </w:r>
      <w:r>
        <w:rPr>
          <w:b/>
          <w:sz w:val="28"/>
        </w:rPr>
        <w:t>AAA REPAIR</w:t>
      </w:r>
      <w:r w:rsidR="004F606E">
        <w:rPr>
          <w:b/>
          <w:sz w:val="28"/>
        </w:rPr>
        <w:t>S</w:t>
      </w:r>
      <w:r>
        <w:rPr>
          <w:b/>
          <w:sz w:val="28"/>
        </w:rPr>
        <w:t xml:space="preserve"> USING HOSPITAL EPISODE STATISTICS</w:t>
      </w:r>
      <w:r w:rsidR="004F606E">
        <w:rPr>
          <w:b/>
          <w:sz w:val="28"/>
        </w:rPr>
        <w:t xml:space="preserve"> IN ENGLAND </w:t>
      </w:r>
    </w:p>
    <w:p w14:paraId="5D635701" w14:textId="77777777" w:rsidR="00757FAA" w:rsidRDefault="00757FAA">
      <w:pPr>
        <w:spacing w:after="160" w:line="259" w:lineRule="auto"/>
        <w:rPr>
          <w:b/>
        </w:rPr>
      </w:pPr>
      <w:r>
        <w:rPr>
          <w:b/>
        </w:rPr>
        <w:br w:type="page"/>
      </w:r>
    </w:p>
    <w:p w14:paraId="66AB005A" w14:textId="01ACCDE4" w:rsidR="00D52274" w:rsidRPr="009D206E" w:rsidRDefault="00D52274" w:rsidP="00D52274">
      <w:pPr>
        <w:rPr>
          <w:b/>
        </w:rPr>
      </w:pPr>
      <w:r>
        <w:rPr>
          <w:b/>
        </w:rPr>
        <w:lastRenderedPageBreak/>
        <w:t>ABSTRACT</w:t>
      </w:r>
    </w:p>
    <w:p w14:paraId="49397CF9" w14:textId="7B3A1C40" w:rsidR="00D52274" w:rsidRDefault="00D52274" w:rsidP="00D52274">
      <w:pPr>
        <w:spacing w:line="360" w:lineRule="auto"/>
        <w:jc w:val="both"/>
        <w:rPr>
          <w:rFonts w:eastAsiaTheme="minorHAnsi" w:cs="Times New Roman"/>
          <w:lang w:eastAsia="en-US"/>
        </w:rPr>
      </w:pPr>
      <w:r>
        <w:rPr>
          <w:b/>
        </w:rPr>
        <w:t xml:space="preserve">Introduction: </w:t>
      </w:r>
      <w:r w:rsidR="00390D27">
        <w:t xml:space="preserve">We aim </w:t>
      </w:r>
      <w:r w:rsidR="00390D27" w:rsidRPr="00AE12A6">
        <w:rPr>
          <w:rFonts w:eastAsiaTheme="minorHAnsi" w:cs="Times New Roman"/>
          <w:lang w:eastAsia="en-US"/>
        </w:rPr>
        <w:t>to estimate the costs of the different types of AAA repair</w:t>
      </w:r>
      <w:r w:rsidR="00390D27">
        <w:rPr>
          <w:rFonts w:eastAsiaTheme="minorHAnsi" w:cs="Times New Roman"/>
          <w:lang w:eastAsia="en-US"/>
        </w:rPr>
        <w:t>s</w:t>
      </w:r>
      <w:r w:rsidR="00390D27" w:rsidRPr="00AE12A6">
        <w:rPr>
          <w:rFonts w:eastAsiaTheme="minorHAnsi" w:cs="Times New Roman"/>
          <w:lang w:eastAsia="en-US"/>
        </w:rPr>
        <w:t xml:space="preserve"> using routinely ava</w:t>
      </w:r>
      <w:r w:rsidR="00390D27">
        <w:rPr>
          <w:rFonts w:eastAsiaTheme="minorHAnsi" w:cs="Times New Roman"/>
          <w:lang w:eastAsia="en-US"/>
        </w:rPr>
        <w:t>ilable hospital data in England. We also aim to investigate</w:t>
      </w:r>
      <w:r w:rsidR="00390D27" w:rsidRPr="00AE12A6">
        <w:rPr>
          <w:rFonts w:eastAsiaTheme="minorHAnsi" w:cs="Times New Roman"/>
          <w:lang w:eastAsia="en-US"/>
        </w:rPr>
        <w:t xml:space="preserve"> the variation of these costs based on the different patient and provid</w:t>
      </w:r>
      <w:r w:rsidR="00390D27">
        <w:rPr>
          <w:rFonts w:eastAsiaTheme="minorHAnsi" w:cs="Times New Roman"/>
          <w:lang w:eastAsia="en-US"/>
        </w:rPr>
        <w:t xml:space="preserve">er characteristics </w:t>
      </w:r>
      <w:r w:rsidR="00390D27" w:rsidRPr="00AE12A6">
        <w:rPr>
          <w:rFonts w:eastAsiaTheme="minorHAnsi" w:cs="Times New Roman"/>
          <w:lang w:eastAsia="en-US"/>
        </w:rPr>
        <w:t>to accurately predict these costs on the</w:t>
      </w:r>
      <w:r w:rsidR="00390D27">
        <w:rPr>
          <w:rFonts w:eastAsiaTheme="minorHAnsi" w:cs="Times New Roman"/>
          <w:lang w:eastAsia="en-US"/>
        </w:rPr>
        <w:t xml:space="preserve"> context of economic evaluation for service reconfiguration. </w:t>
      </w:r>
    </w:p>
    <w:p w14:paraId="7F5ACA91" w14:textId="77777777" w:rsidR="00390D27" w:rsidRPr="0081399D" w:rsidRDefault="00390D27" w:rsidP="00D52274">
      <w:pPr>
        <w:spacing w:line="360" w:lineRule="auto"/>
        <w:jc w:val="both"/>
      </w:pPr>
    </w:p>
    <w:p w14:paraId="5806A78F" w14:textId="23182593" w:rsidR="00F31C7F" w:rsidRDefault="00D52274" w:rsidP="00D52274">
      <w:pPr>
        <w:spacing w:line="360" w:lineRule="auto"/>
        <w:jc w:val="both"/>
        <w:rPr>
          <w:rFonts w:cs="Times New Roman"/>
        </w:rPr>
      </w:pPr>
      <w:r>
        <w:rPr>
          <w:b/>
        </w:rPr>
        <w:t xml:space="preserve">Methods: </w:t>
      </w:r>
      <w:r w:rsidRPr="000E4B3E">
        <w:rPr>
          <w:rFonts w:cs="Times New Roman"/>
          <w:szCs w:val="24"/>
          <w:lang w:eastAsia="en-US"/>
        </w:rPr>
        <w:t>HES data were acquired</w:t>
      </w:r>
      <w:r w:rsidR="00390D27">
        <w:rPr>
          <w:rFonts w:cs="Times New Roman"/>
          <w:szCs w:val="24"/>
          <w:lang w:eastAsia="en-US"/>
        </w:rPr>
        <w:t xml:space="preserve"> between </w:t>
      </w:r>
      <w:r w:rsidR="00390D27" w:rsidRPr="000E4B3E">
        <w:rPr>
          <w:rFonts w:cs="Times New Roman"/>
          <w:szCs w:val="24"/>
        </w:rPr>
        <w:t>1</w:t>
      </w:r>
      <w:r w:rsidR="00390D27" w:rsidRPr="000E4B3E">
        <w:rPr>
          <w:rFonts w:cs="Times New Roman"/>
          <w:szCs w:val="24"/>
          <w:vertAlign w:val="superscript"/>
        </w:rPr>
        <w:t>st</w:t>
      </w:r>
      <w:r w:rsidR="00390D27">
        <w:rPr>
          <w:rFonts w:cs="Times New Roman"/>
          <w:szCs w:val="24"/>
        </w:rPr>
        <w:t xml:space="preserve"> April 2008</w:t>
      </w:r>
      <w:r w:rsidR="00390D27" w:rsidRPr="000E4B3E">
        <w:rPr>
          <w:rFonts w:cs="Times New Roman"/>
          <w:szCs w:val="24"/>
        </w:rPr>
        <w:t xml:space="preserve"> and 15</w:t>
      </w:r>
      <w:r w:rsidR="00390D27" w:rsidRPr="000E4B3E">
        <w:rPr>
          <w:rFonts w:cs="Times New Roman"/>
          <w:szCs w:val="24"/>
          <w:vertAlign w:val="superscript"/>
        </w:rPr>
        <w:t>th</w:t>
      </w:r>
      <w:r w:rsidR="00390D27" w:rsidRPr="000E4B3E">
        <w:rPr>
          <w:rFonts w:cs="Times New Roman"/>
          <w:szCs w:val="24"/>
        </w:rPr>
        <w:t xml:space="preserve"> Feb 2015</w:t>
      </w:r>
      <w:r>
        <w:rPr>
          <w:rFonts w:cs="Times New Roman"/>
          <w:szCs w:val="24"/>
          <w:lang w:eastAsia="en-US"/>
        </w:rPr>
        <w:t xml:space="preserve">. </w:t>
      </w:r>
      <w:r w:rsidRPr="000062BE">
        <w:rPr>
          <w:rFonts w:cs="Times New Roman"/>
          <w:szCs w:val="24"/>
          <w:lang w:eastAsia="en-US"/>
        </w:rPr>
        <w:t>The R© programme (Version 3.4.1) (R foundation, Vienna, Austria) was used</w:t>
      </w:r>
      <w:r>
        <w:rPr>
          <w:rFonts w:cs="Times New Roman"/>
          <w:szCs w:val="24"/>
          <w:lang w:eastAsia="en-US"/>
        </w:rPr>
        <w:t xml:space="preserve"> for all data manipulation and statistical analyses.</w:t>
      </w:r>
      <w:r w:rsidR="00390D27">
        <w:rPr>
          <w:rFonts w:cs="Times New Roman"/>
          <w:szCs w:val="24"/>
          <w:lang w:eastAsia="en-US"/>
        </w:rPr>
        <w:t xml:space="preserve"> </w:t>
      </w:r>
      <w:r>
        <w:rPr>
          <w:rFonts w:cs="Times New Roman"/>
        </w:rPr>
        <w:t xml:space="preserve">The primary outcome was </w:t>
      </w:r>
      <w:r w:rsidR="00390D27">
        <w:rPr>
          <w:rFonts w:cs="Times New Roman"/>
        </w:rPr>
        <w:t xml:space="preserve">the total costs of the index episode including the whole hospital stay, critical care, excess bed days, </w:t>
      </w:r>
      <w:r w:rsidR="00F31C7F">
        <w:rPr>
          <w:rFonts w:cs="Times New Roman"/>
        </w:rPr>
        <w:t>devices, and other unbundled procedures</w:t>
      </w:r>
      <w:r>
        <w:rPr>
          <w:rFonts w:cs="Times New Roman"/>
        </w:rPr>
        <w:t>.</w:t>
      </w:r>
      <w:r w:rsidR="00F31C7F">
        <w:rPr>
          <w:rFonts w:cs="Times New Roman"/>
        </w:rPr>
        <w:t xml:space="preserve"> Descriptive statistics, univariate analyses, and multiple regression models were used to investigate the costs and their variation.  </w:t>
      </w:r>
      <w:r>
        <w:rPr>
          <w:rFonts w:cs="Times New Roman"/>
        </w:rPr>
        <w:t xml:space="preserve"> </w:t>
      </w:r>
    </w:p>
    <w:p w14:paraId="2403757A" w14:textId="77777777" w:rsidR="00F31C7F" w:rsidRDefault="00F31C7F" w:rsidP="00D52274">
      <w:pPr>
        <w:spacing w:line="360" w:lineRule="auto"/>
        <w:jc w:val="both"/>
        <w:rPr>
          <w:b/>
        </w:rPr>
      </w:pPr>
    </w:p>
    <w:p w14:paraId="128A6E1D" w14:textId="08E1913E" w:rsidR="00632C5E" w:rsidRDefault="00632C5E" w:rsidP="00632C5E">
      <w:pPr>
        <w:spacing w:line="360" w:lineRule="auto"/>
        <w:jc w:val="both"/>
      </w:pPr>
      <w:r>
        <w:rPr>
          <w:b/>
        </w:rPr>
        <w:t>Results</w:t>
      </w:r>
      <w:r w:rsidR="00D52274">
        <w:rPr>
          <w:b/>
        </w:rPr>
        <w:t xml:space="preserve">: </w:t>
      </w:r>
      <w:r w:rsidR="00F31C7F">
        <w:rPr>
          <w:rFonts w:cs="Times New Roman"/>
        </w:rPr>
        <w:t>42</w:t>
      </w:r>
      <w:r w:rsidR="00F31C7F" w:rsidRPr="008E3341">
        <w:rPr>
          <w:rFonts w:cs="Times New Roman"/>
        </w:rPr>
        <w:t>,</w:t>
      </w:r>
      <w:r w:rsidR="00F31C7F">
        <w:rPr>
          <w:rFonts w:cs="Times New Roman"/>
        </w:rPr>
        <w:t>960</w:t>
      </w:r>
      <w:r w:rsidR="00F31C7F" w:rsidRPr="008E3341">
        <w:rPr>
          <w:rFonts w:cs="Times New Roman"/>
        </w:rPr>
        <w:t xml:space="preserve"> </w:t>
      </w:r>
      <w:r w:rsidR="00D52274" w:rsidRPr="0084059D">
        <w:rPr>
          <w:rFonts w:cs="Times New Roman"/>
        </w:rPr>
        <w:t>patients</w:t>
      </w:r>
      <w:r w:rsidR="00D52274">
        <w:rPr>
          <w:rFonts w:cs="Times New Roman"/>
        </w:rPr>
        <w:t xml:space="preserve"> </w:t>
      </w:r>
      <w:r w:rsidR="00D52274" w:rsidRPr="0084059D">
        <w:rPr>
          <w:rFonts w:cs="Times New Roman"/>
        </w:rPr>
        <w:t>who</w:t>
      </w:r>
      <w:r w:rsidR="00D52274">
        <w:rPr>
          <w:rFonts w:cs="Times New Roman"/>
        </w:rPr>
        <w:t xml:space="preserve"> were admitted and received AAA repairs </w:t>
      </w:r>
      <w:r w:rsidR="00D52274" w:rsidRPr="000E4B3E">
        <w:rPr>
          <w:rFonts w:cs="Times New Roman"/>
          <w:szCs w:val="24"/>
        </w:rPr>
        <w:t xml:space="preserve">between </w:t>
      </w:r>
      <w:r w:rsidR="00F31C7F" w:rsidRPr="008E3341">
        <w:rPr>
          <w:rFonts w:cs="Times New Roman"/>
        </w:rPr>
        <w:t>1</w:t>
      </w:r>
      <w:r w:rsidR="00F31C7F" w:rsidRPr="008E3341">
        <w:rPr>
          <w:rFonts w:cs="Times New Roman"/>
          <w:vertAlign w:val="superscript"/>
        </w:rPr>
        <w:t>st</w:t>
      </w:r>
      <w:r w:rsidR="00F31C7F" w:rsidRPr="008E3341">
        <w:rPr>
          <w:rFonts w:cs="Times New Roman"/>
        </w:rPr>
        <w:t xml:space="preserve"> Apr 2008 and 28</w:t>
      </w:r>
      <w:r w:rsidR="00F31C7F" w:rsidRPr="008E3341">
        <w:rPr>
          <w:rFonts w:cs="Times New Roman"/>
          <w:vertAlign w:val="superscript"/>
        </w:rPr>
        <w:t>th</w:t>
      </w:r>
      <w:r w:rsidR="00F31C7F" w:rsidRPr="008E3341">
        <w:rPr>
          <w:rFonts w:cs="Times New Roman"/>
        </w:rPr>
        <w:t xml:space="preserve"> Feb 2015</w:t>
      </w:r>
      <w:r w:rsidR="00F31C7F">
        <w:rPr>
          <w:rFonts w:cs="Times New Roman"/>
        </w:rPr>
        <w:t xml:space="preserve"> </w:t>
      </w:r>
      <w:r w:rsidR="00D52274">
        <w:rPr>
          <w:rFonts w:cs="Times New Roman"/>
          <w:szCs w:val="24"/>
        </w:rPr>
        <w:t>were identified</w:t>
      </w:r>
      <w:r w:rsidR="00F31C7F">
        <w:rPr>
          <w:rFonts w:cs="Times New Roman"/>
        </w:rPr>
        <w:t>: 18.01% were ruptured, 12.18</w:t>
      </w:r>
      <w:r w:rsidR="00D52274">
        <w:rPr>
          <w:rFonts w:cs="Times New Roman"/>
        </w:rPr>
        <w:t>%</w:t>
      </w:r>
      <w:r w:rsidR="00F31C7F">
        <w:rPr>
          <w:rFonts w:cs="Times New Roman"/>
        </w:rPr>
        <w:t xml:space="preserve"> were non-ruptured emergency, 27.85</w:t>
      </w:r>
      <w:r w:rsidR="00D52274">
        <w:rPr>
          <w:rFonts w:cs="Times New Roman"/>
        </w:rPr>
        <w:t>% w</w:t>
      </w:r>
      <w:r w:rsidR="00F31C7F">
        <w:rPr>
          <w:rFonts w:cs="Times New Roman"/>
        </w:rPr>
        <w:t>ere elective open repair, and 41.96</w:t>
      </w:r>
      <w:r w:rsidR="00D52274">
        <w:rPr>
          <w:rFonts w:cs="Times New Roman"/>
        </w:rPr>
        <w:t>% were elective EVAR. Th</w:t>
      </w:r>
      <w:r w:rsidR="00F31C7F">
        <w:rPr>
          <w:rFonts w:cs="Times New Roman"/>
        </w:rPr>
        <w:t>e mean age of the cohort was 74 years and 86</w:t>
      </w:r>
      <w:r w:rsidR="00D52274">
        <w:rPr>
          <w:rFonts w:cs="Times New Roman"/>
        </w:rPr>
        <w:t xml:space="preserve">% was male. </w:t>
      </w:r>
      <w:r>
        <w:t xml:space="preserve">Mean total costs (in 2014/15 price) for ruptured, non-ruptured emergency, elective open repair, and elective EVAR were £14779.3, £12235.8, £10607.4, and £10616.8 respectively. Costs varied with certain patient, provider characteristics, and </w:t>
      </w:r>
      <w:proofErr w:type="spellStart"/>
      <w:r>
        <w:t>hesyear</w:t>
      </w:r>
      <w:proofErr w:type="spellEnd"/>
      <w:r>
        <w:t xml:space="preserve">. We found two provider characteristics that had significantly positive effects on the total costs after controlling for other case-mix factors: the annual elective volume and the market forces factor index. Higher volume centres were associated with higher costs and higher level of unavoidable costs for a location (reflected by the MFF index) were also associated with higher costs. </w:t>
      </w:r>
    </w:p>
    <w:p w14:paraId="41AFFBB2" w14:textId="77777777" w:rsidR="00632C5E" w:rsidRDefault="00632C5E" w:rsidP="00632C5E">
      <w:pPr>
        <w:spacing w:line="360" w:lineRule="auto"/>
        <w:jc w:val="both"/>
      </w:pPr>
    </w:p>
    <w:p w14:paraId="468244F2" w14:textId="0824C303" w:rsidR="00632C5E" w:rsidRDefault="00B5306B" w:rsidP="00632C5E">
      <w:pPr>
        <w:spacing w:line="360" w:lineRule="auto"/>
        <w:jc w:val="both"/>
      </w:pPr>
      <w:r>
        <w:rPr>
          <w:b/>
        </w:rPr>
        <w:t xml:space="preserve">Conclusion: </w:t>
      </w:r>
      <w:r>
        <w:t>These findings have</w:t>
      </w:r>
      <w:r w:rsidR="00632C5E">
        <w:t xml:space="preserve"> important implications for cost-effectiveness modelling to evaluate services reconfiguration options. On the one hand, we know that merging small units with bigger ones would improve outcomes such as in-hospital mortality. On the other hand, with the new findings from this study, merging small units with bigger ones would also increase costs significantly. Thus, it is important to properly model these two aspects of changes (outcomes </w:t>
      </w:r>
      <w:r>
        <w:t>and costs) to evaluate options for</w:t>
      </w:r>
      <w:r w:rsidR="00632C5E">
        <w:t xml:space="preserve"> services reconfigurations.  </w:t>
      </w:r>
    </w:p>
    <w:p w14:paraId="254269FE" w14:textId="77777777" w:rsidR="00632C5E" w:rsidRDefault="00632C5E"/>
    <w:p w14:paraId="50334985" w14:textId="77777777" w:rsidR="00A94A28" w:rsidRDefault="00A94A28"/>
    <w:p w14:paraId="554594A9" w14:textId="77777777" w:rsidR="00757FAA" w:rsidRDefault="00757FAA" w:rsidP="00757FAA">
      <w:pPr>
        <w:pStyle w:val="Heading1"/>
        <w:numPr>
          <w:ilvl w:val="0"/>
          <w:numId w:val="0"/>
        </w:numPr>
        <w:ind w:left="432"/>
      </w:pPr>
      <w:r>
        <w:lastRenderedPageBreak/>
        <w:t>Introduction</w:t>
      </w:r>
    </w:p>
    <w:p w14:paraId="54A0FF9F" w14:textId="0E54F6D3" w:rsidR="00AE12A6" w:rsidRDefault="00AE12A6" w:rsidP="00AE12A6">
      <w:pPr>
        <w:spacing w:line="360" w:lineRule="auto"/>
        <w:jc w:val="both"/>
        <w:rPr>
          <w:rFonts w:eastAsiaTheme="minorHAnsi" w:cs="Times New Roman"/>
          <w:lang w:eastAsia="en-US"/>
        </w:rPr>
      </w:pPr>
      <w:r w:rsidRPr="00AE12A6">
        <w:rPr>
          <w:rFonts w:eastAsiaTheme="minorHAnsi" w:cs="Times New Roman"/>
          <w:lang w:eastAsia="en-US"/>
        </w:rPr>
        <w:t>Abdominal Aortic Aneurysm (AAA) is a common cardiovascular disease</w:t>
      </w:r>
      <w:r w:rsidR="006F68F2">
        <w:rPr>
          <w:rFonts w:eastAsiaTheme="minorHAnsi" w:cs="Times New Roman"/>
          <w:lang w:eastAsia="en-US"/>
        </w:rPr>
        <w:t xml:space="preserve"> that often triggers surgical interventions</w:t>
      </w:r>
      <w:r w:rsidRPr="00AE12A6">
        <w:rPr>
          <w:rFonts w:eastAsiaTheme="minorHAnsi" w:cs="Times New Roman"/>
          <w:lang w:eastAsia="en-US"/>
        </w:rPr>
        <w:t xml:space="preserve">. There are a number of different surgical treatments available for the AAA repair, ranging for open surgical repair to endovascular repair (EVAR). The choice of </w:t>
      </w:r>
      <w:r w:rsidR="006F68F2">
        <w:rPr>
          <w:rFonts w:eastAsiaTheme="minorHAnsi" w:cs="Times New Roman"/>
          <w:lang w:eastAsia="en-US"/>
        </w:rPr>
        <w:t>treatment depends on certain</w:t>
      </w:r>
      <w:r w:rsidRPr="00AE12A6">
        <w:rPr>
          <w:rFonts w:eastAsiaTheme="minorHAnsi" w:cs="Times New Roman"/>
          <w:lang w:eastAsia="en-US"/>
        </w:rPr>
        <w:t xml:space="preserve"> patie</w:t>
      </w:r>
      <w:r w:rsidR="006F68F2">
        <w:rPr>
          <w:rFonts w:eastAsiaTheme="minorHAnsi" w:cs="Times New Roman"/>
          <w:lang w:eastAsia="en-US"/>
        </w:rPr>
        <w:t>nt characteristics and</w:t>
      </w:r>
      <w:r w:rsidRPr="00AE12A6">
        <w:rPr>
          <w:rFonts w:eastAsiaTheme="minorHAnsi" w:cs="Times New Roman"/>
          <w:lang w:eastAsia="en-US"/>
        </w:rPr>
        <w:t xml:space="preserve"> provider characteristics. As such, the costs of AAA may potentially depend on a number of these patient and provider factors. Thus, using a mean (i.e. average or constant) cost for AAA repair does not take into the complexities involved in the procedure – this issue is particularly relevant in the context of economic evaluation models.</w:t>
      </w:r>
    </w:p>
    <w:p w14:paraId="23995F66" w14:textId="5C9ECDF0" w:rsidR="006F68F2" w:rsidRDefault="006F68F2" w:rsidP="00AE12A6">
      <w:pPr>
        <w:spacing w:line="360" w:lineRule="auto"/>
        <w:jc w:val="both"/>
        <w:rPr>
          <w:rFonts w:eastAsiaTheme="minorHAnsi" w:cs="Times New Roman"/>
          <w:lang w:eastAsia="en-US"/>
        </w:rPr>
      </w:pPr>
    </w:p>
    <w:p w14:paraId="28F1B33E" w14:textId="59A72732" w:rsidR="008A30BE" w:rsidRDefault="006F68F2" w:rsidP="00842172">
      <w:pPr>
        <w:spacing w:line="360" w:lineRule="auto"/>
        <w:jc w:val="both"/>
        <w:rPr>
          <w:rFonts w:eastAsia="Times New Roman" w:cs="Times New Roman"/>
          <w:shd w:val="clear" w:color="auto" w:fill="FFFFFF"/>
        </w:rPr>
      </w:pPr>
      <w:r w:rsidRPr="008A30BE">
        <w:rPr>
          <w:rFonts w:eastAsiaTheme="minorHAnsi" w:cs="Times New Roman"/>
          <w:lang w:eastAsia="en-US"/>
        </w:rPr>
        <w:t>In England, t</w:t>
      </w:r>
      <w:r w:rsidRPr="008A30BE">
        <w:rPr>
          <w:rFonts w:cs="Times New Roman"/>
        </w:rPr>
        <w:t>he Hospital Ep</w:t>
      </w:r>
      <w:r w:rsidR="008A30BE" w:rsidRPr="008A30BE">
        <w:rPr>
          <w:rFonts w:cs="Times New Roman"/>
        </w:rPr>
        <w:t xml:space="preserve">isode Statistics (HES) datasets </w:t>
      </w:r>
      <w:r w:rsidR="008A30BE" w:rsidRPr="008A30BE">
        <w:rPr>
          <w:rFonts w:eastAsia="Times New Roman" w:cs="Times New Roman"/>
          <w:color w:val="000000"/>
          <w:shd w:val="clear" w:color="auto" w:fill="FFFFFF"/>
        </w:rPr>
        <w:t>provide</w:t>
      </w:r>
      <w:r w:rsidRPr="008A30BE">
        <w:rPr>
          <w:rFonts w:eastAsia="Times New Roman" w:cs="Times New Roman"/>
          <w:color w:val="000000"/>
          <w:shd w:val="clear" w:color="auto" w:fill="FFFFFF"/>
        </w:rPr>
        <w:t xml:space="preserve"> a rich source of information regarding </w:t>
      </w:r>
      <w:r w:rsidR="008A30BE" w:rsidRPr="008A30BE">
        <w:rPr>
          <w:rFonts w:eastAsia="Times New Roman" w:cs="Times New Roman"/>
          <w:color w:val="000000"/>
          <w:shd w:val="clear" w:color="auto" w:fill="FFFFFF"/>
        </w:rPr>
        <w:t>in-</w:t>
      </w:r>
      <w:r w:rsidRPr="008A30BE">
        <w:rPr>
          <w:rFonts w:eastAsia="Times New Roman" w:cs="Times New Roman"/>
          <w:color w:val="000000"/>
          <w:shd w:val="clear" w:color="auto" w:fill="FFFFFF"/>
        </w:rPr>
        <w:t>patient care across England, year by year with coverage and completeness of c</w:t>
      </w:r>
      <w:r w:rsidR="008A30BE" w:rsidRPr="008A30BE">
        <w:rPr>
          <w:rFonts w:eastAsia="Times New Roman" w:cs="Times New Roman"/>
          <w:color w:val="000000"/>
          <w:shd w:val="clear" w:color="auto" w:fill="FFFFFF"/>
        </w:rPr>
        <w:t xml:space="preserve">oding well over 96% for </w:t>
      </w:r>
      <w:r w:rsidRPr="008A30BE">
        <w:rPr>
          <w:rFonts w:eastAsia="Times New Roman" w:cs="Times New Roman"/>
          <w:color w:val="000000"/>
          <w:shd w:val="clear" w:color="auto" w:fill="FFFFFF"/>
        </w:rPr>
        <w:t>in recent years [</w:t>
      </w:r>
      <w:r w:rsidR="00842172">
        <w:rPr>
          <w:rFonts w:eastAsia="Times New Roman" w:cs="Times New Roman"/>
          <w:color w:val="000000"/>
          <w:shd w:val="clear" w:color="auto" w:fill="FFFFFF"/>
        </w:rPr>
        <w:t>1-4</w:t>
      </w:r>
      <w:r w:rsidR="00757FAA">
        <w:rPr>
          <w:rFonts w:eastAsia="Times New Roman" w:cs="Times New Roman"/>
          <w:color w:val="000000"/>
          <w:shd w:val="clear" w:color="auto" w:fill="FFFFFF"/>
        </w:rPr>
        <w:t>]</w:t>
      </w:r>
      <w:r w:rsidRPr="008A30BE">
        <w:rPr>
          <w:rFonts w:eastAsia="Times New Roman" w:cs="Times New Roman"/>
          <w:b/>
          <w:bCs/>
          <w:color w:val="000000"/>
          <w:shd w:val="clear" w:color="auto" w:fill="FFFFFF"/>
        </w:rPr>
        <w:t>. </w:t>
      </w:r>
      <w:r w:rsidRPr="008A30BE">
        <w:rPr>
          <w:rFonts w:eastAsia="Times New Roman" w:cs="Times New Roman"/>
          <w:shd w:val="clear" w:color="auto" w:fill="FFFFFF"/>
        </w:rPr>
        <w:t xml:space="preserve">The basic unit of activity measured in HES is the finished consultant episode (FCE), this includes a single period of care under one consultant and does not necessarily equate to all the care provided in an admission. FCE contains a primary diagnosis and up to 19 secondary diagnoses and 24 procedure fields. FCE includes information such as </w:t>
      </w:r>
      <w:r w:rsidR="008A30BE" w:rsidRPr="008A30BE">
        <w:rPr>
          <w:rFonts w:eastAsia="Times New Roman" w:cs="Times New Roman"/>
          <w:shd w:val="clear" w:color="auto" w:fill="FFFFFF"/>
        </w:rPr>
        <w:t xml:space="preserve">identification of the hospital, </w:t>
      </w:r>
      <w:r w:rsidRPr="008A30BE">
        <w:rPr>
          <w:rFonts w:eastAsia="Times New Roman" w:cs="Times New Roman"/>
          <w:shd w:val="clear" w:color="auto" w:fill="FFFFFF"/>
        </w:rPr>
        <w:t>patient demographics, type of admission, source of admission, speciality, destination and date of discharge, dates of procedures, referral to different providers as well as length of stay in critical care</w:t>
      </w:r>
      <w:r w:rsidR="008A30BE">
        <w:rPr>
          <w:rFonts w:eastAsia="Times New Roman" w:cs="Times New Roman"/>
          <w:shd w:val="clear" w:color="auto" w:fill="FFFFFF"/>
        </w:rPr>
        <w:t xml:space="preserve"> (recorded in a separate linked dataset)</w:t>
      </w:r>
      <w:r w:rsidRPr="008A30BE">
        <w:rPr>
          <w:rFonts w:eastAsia="Times New Roman" w:cs="Times New Roman"/>
          <w:shd w:val="clear" w:color="auto" w:fill="FFFFFF"/>
        </w:rPr>
        <w:t xml:space="preserve"> and other important clinical and administrative information</w:t>
      </w:r>
      <w:r w:rsidR="008A30BE" w:rsidRPr="008A30BE">
        <w:rPr>
          <w:rFonts w:eastAsia="Times New Roman" w:cs="Times New Roman"/>
          <w:shd w:val="clear" w:color="auto" w:fill="FFFFFF"/>
        </w:rPr>
        <w:t xml:space="preserve">. </w:t>
      </w:r>
      <w:r w:rsidR="008A30BE">
        <w:rPr>
          <w:rFonts w:eastAsia="Times New Roman" w:cs="Times New Roman"/>
          <w:shd w:val="clear" w:color="auto" w:fill="FFFFFF"/>
        </w:rPr>
        <w:t xml:space="preserve">Providers in England are required to report the costs of all their FCEs grouped by Health Resource Groups (HRGs) and other episode information (i.e. admission method, treatment specialty, length of stay, etc.). These provider-specific reference cost data are collected centrally and made available to the public. Using the reference cost data, the total costs of </w:t>
      </w:r>
      <w:proofErr w:type="gramStart"/>
      <w:r w:rsidR="008A30BE">
        <w:rPr>
          <w:rFonts w:eastAsia="Times New Roman" w:cs="Times New Roman"/>
          <w:shd w:val="clear" w:color="auto" w:fill="FFFFFF"/>
        </w:rPr>
        <w:t>a</w:t>
      </w:r>
      <w:proofErr w:type="gramEnd"/>
      <w:r w:rsidR="008A30BE">
        <w:rPr>
          <w:rFonts w:eastAsia="Times New Roman" w:cs="Times New Roman"/>
          <w:shd w:val="clear" w:color="auto" w:fill="FFFFFF"/>
        </w:rPr>
        <w:t xml:space="preserve"> FCE can be determined retrospectively by </w:t>
      </w:r>
      <w:r w:rsidR="00B17B51">
        <w:rPr>
          <w:rFonts w:eastAsia="Times New Roman" w:cs="Times New Roman"/>
          <w:shd w:val="clear" w:color="auto" w:fill="FFFFFF"/>
        </w:rPr>
        <w:t>its categorisation information including its main HRG, unbundled HRGs, critical care HRG, length of critical care, level of excess bed days, and mode of admission. Nonetheless, the process is not always straightforward given changes in HRG coding and HES coding across the years. There has not been any study look</w:t>
      </w:r>
      <w:r w:rsidR="00842172">
        <w:rPr>
          <w:rFonts w:eastAsia="Times New Roman" w:cs="Times New Roman"/>
          <w:shd w:val="clear" w:color="auto" w:fill="FFFFFF"/>
        </w:rPr>
        <w:t>ing</w:t>
      </w:r>
      <w:r w:rsidR="00B17B51">
        <w:rPr>
          <w:rFonts w:eastAsia="Times New Roman" w:cs="Times New Roman"/>
          <w:shd w:val="clear" w:color="auto" w:fill="FFFFFF"/>
        </w:rPr>
        <w:t xml:space="preserve"> at the detailed costing of AAA episodes using HES data.    </w:t>
      </w:r>
      <w:r w:rsidR="008A30BE">
        <w:rPr>
          <w:rFonts w:eastAsia="Times New Roman" w:cs="Times New Roman"/>
          <w:shd w:val="clear" w:color="auto" w:fill="FFFFFF"/>
        </w:rPr>
        <w:t xml:space="preserve">  </w:t>
      </w:r>
    </w:p>
    <w:p w14:paraId="4451525A" w14:textId="77777777" w:rsidR="008A30BE" w:rsidRPr="008A30BE" w:rsidRDefault="008A30BE" w:rsidP="00AE12A6">
      <w:pPr>
        <w:spacing w:line="360" w:lineRule="auto"/>
        <w:jc w:val="both"/>
        <w:rPr>
          <w:rFonts w:ascii="Arial" w:eastAsia="Times New Roman" w:hAnsi="Arial" w:cs="Arial"/>
          <w:shd w:val="clear" w:color="auto" w:fill="FFFFFF"/>
        </w:rPr>
      </w:pPr>
    </w:p>
    <w:p w14:paraId="68AB930C" w14:textId="35595FEC" w:rsidR="005E786C" w:rsidRDefault="00B17B51" w:rsidP="00AE12A6">
      <w:pPr>
        <w:spacing w:line="360" w:lineRule="auto"/>
        <w:jc w:val="both"/>
        <w:rPr>
          <w:rFonts w:eastAsiaTheme="minorHAnsi" w:cs="Times New Roman"/>
          <w:lang w:eastAsia="en-US"/>
        </w:rPr>
      </w:pPr>
      <w:r>
        <w:rPr>
          <w:rFonts w:eastAsiaTheme="minorHAnsi" w:cs="Times New Roman"/>
          <w:lang w:eastAsia="en-US"/>
        </w:rPr>
        <w:t>The aim of this study</w:t>
      </w:r>
      <w:r w:rsidR="00AE12A6" w:rsidRPr="00AE12A6">
        <w:rPr>
          <w:rFonts w:eastAsiaTheme="minorHAnsi" w:cs="Times New Roman"/>
          <w:lang w:eastAsia="en-US"/>
        </w:rPr>
        <w:t xml:space="preserve"> is to estimate the costs of the different types of AAA repair using </w:t>
      </w:r>
      <w:r>
        <w:rPr>
          <w:rFonts w:eastAsiaTheme="minorHAnsi" w:cs="Times New Roman"/>
          <w:lang w:eastAsia="en-US"/>
        </w:rPr>
        <w:t xml:space="preserve">the HES </w:t>
      </w:r>
      <w:r w:rsidR="00AE12A6" w:rsidRPr="00AE12A6">
        <w:rPr>
          <w:rFonts w:eastAsiaTheme="minorHAnsi" w:cs="Times New Roman"/>
          <w:lang w:eastAsia="en-US"/>
        </w:rPr>
        <w:t>data in England</w:t>
      </w:r>
      <w:r>
        <w:rPr>
          <w:rFonts w:eastAsiaTheme="minorHAnsi" w:cs="Times New Roman"/>
          <w:lang w:eastAsia="en-US"/>
        </w:rPr>
        <w:t xml:space="preserve"> between 2008 and 2015</w:t>
      </w:r>
      <w:r w:rsidR="00AE12A6" w:rsidRPr="00AE12A6">
        <w:rPr>
          <w:rFonts w:eastAsiaTheme="minorHAnsi" w:cs="Times New Roman"/>
          <w:lang w:eastAsia="en-US"/>
        </w:rPr>
        <w:t xml:space="preserve">. Furthermore, the variation of these costs based on the different patient and provider characteristics is estimated to accurately predict these </w:t>
      </w:r>
      <w:r w:rsidR="00AE12A6" w:rsidRPr="00AE12A6">
        <w:rPr>
          <w:rFonts w:eastAsiaTheme="minorHAnsi" w:cs="Times New Roman"/>
          <w:lang w:eastAsia="en-US"/>
        </w:rPr>
        <w:lastRenderedPageBreak/>
        <w:t xml:space="preserve">costs on the context of economic evaluation. </w:t>
      </w:r>
      <w:r>
        <w:rPr>
          <w:rFonts w:eastAsiaTheme="minorHAnsi" w:cs="Times New Roman"/>
          <w:lang w:eastAsia="en-US"/>
        </w:rPr>
        <w:t xml:space="preserve">We aim to conduct the most accurate costing exercise by using year-specific HRG groupers and year-specific reference cost data. </w:t>
      </w:r>
      <w:r w:rsidR="00AE12A6" w:rsidRPr="00AE12A6">
        <w:rPr>
          <w:rFonts w:eastAsiaTheme="minorHAnsi" w:cs="Times New Roman"/>
          <w:lang w:eastAsia="en-US"/>
        </w:rPr>
        <w:t>The paper is organised as follows. The Methods section describes the data source, design of the dataset, the cost estimation and statistical analyses protocol. The results section presents a descriptive summary of the dataset, describes the issues identified during costing and presents the results of the statistical analyses. The key findings along with the strengths and limitations of this study are presented in the discussion section.</w:t>
      </w:r>
    </w:p>
    <w:p w14:paraId="11D3F4F6" w14:textId="4CBD97FE" w:rsidR="00AE12A6" w:rsidRDefault="00AE12A6" w:rsidP="00AE12A6">
      <w:pPr>
        <w:spacing w:line="360" w:lineRule="auto"/>
        <w:jc w:val="both"/>
        <w:rPr>
          <w:rFonts w:eastAsiaTheme="minorHAnsi" w:cs="Times New Roman"/>
          <w:lang w:eastAsia="en-US"/>
        </w:rPr>
      </w:pPr>
    </w:p>
    <w:p w14:paraId="4EC0F0EE" w14:textId="77777777" w:rsidR="00757FAA" w:rsidRDefault="00757FAA" w:rsidP="00757FAA">
      <w:pPr>
        <w:pStyle w:val="Heading1"/>
        <w:numPr>
          <w:ilvl w:val="0"/>
          <w:numId w:val="0"/>
        </w:numPr>
        <w:ind w:left="432" w:hanging="432"/>
      </w:pPr>
      <w:r>
        <w:t>Methods</w:t>
      </w:r>
    </w:p>
    <w:p w14:paraId="5AE7B6D9" w14:textId="77777777" w:rsidR="00757FAA" w:rsidRDefault="00757FAA" w:rsidP="00757FAA">
      <w:pPr>
        <w:pStyle w:val="Heading2"/>
        <w:numPr>
          <w:ilvl w:val="0"/>
          <w:numId w:val="0"/>
        </w:numPr>
        <w:spacing w:line="360" w:lineRule="auto"/>
        <w:ind w:left="576" w:hanging="576"/>
      </w:pPr>
      <w:r>
        <w:t>Dataset</w:t>
      </w:r>
    </w:p>
    <w:p w14:paraId="237AAEC5" w14:textId="3BC7BAFA" w:rsidR="00892292" w:rsidRPr="00892292" w:rsidRDefault="000E4B3E" w:rsidP="00D867AE">
      <w:pPr>
        <w:spacing w:line="360" w:lineRule="auto"/>
        <w:jc w:val="both"/>
        <w:rPr>
          <w:rFonts w:cs="Times New Roman"/>
        </w:rPr>
      </w:pPr>
      <w:r w:rsidRPr="000E4B3E">
        <w:rPr>
          <w:rFonts w:cs="Times New Roman"/>
          <w:szCs w:val="24"/>
          <w:lang w:eastAsia="en-US"/>
        </w:rPr>
        <w:t xml:space="preserve">HES data </w:t>
      </w:r>
      <w:r w:rsidRPr="000E4B3E">
        <w:rPr>
          <w:rFonts w:cs="Times New Roman"/>
          <w:szCs w:val="24"/>
        </w:rPr>
        <w:t>between 1</w:t>
      </w:r>
      <w:r w:rsidRPr="000E4B3E">
        <w:rPr>
          <w:rFonts w:cs="Times New Roman"/>
          <w:szCs w:val="24"/>
          <w:vertAlign w:val="superscript"/>
        </w:rPr>
        <w:t>st</w:t>
      </w:r>
      <w:r w:rsidR="00DE7D7E">
        <w:rPr>
          <w:rFonts w:cs="Times New Roman"/>
          <w:szCs w:val="24"/>
        </w:rPr>
        <w:t xml:space="preserve"> April 2008</w:t>
      </w:r>
      <w:r w:rsidRPr="000E4B3E">
        <w:rPr>
          <w:rFonts w:cs="Times New Roman"/>
          <w:szCs w:val="24"/>
        </w:rPr>
        <w:t xml:space="preserve"> and 15</w:t>
      </w:r>
      <w:r w:rsidRPr="000E4B3E">
        <w:rPr>
          <w:rFonts w:cs="Times New Roman"/>
          <w:szCs w:val="24"/>
          <w:vertAlign w:val="superscript"/>
        </w:rPr>
        <w:t>th</w:t>
      </w:r>
      <w:r w:rsidRPr="000E4B3E">
        <w:rPr>
          <w:rFonts w:cs="Times New Roman"/>
          <w:szCs w:val="24"/>
        </w:rPr>
        <w:t xml:space="preserve"> Feb 2015 </w:t>
      </w:r>
      <w:r w:rsidRPr="000E4B3E">
        <w:rPr>
          <w:rFonts w:cs="Times New Roman"/>
          <w:szCs w:val="24"/>
          <w:lang w:eastAsia="en-US"/>
        </w:rPr>
        <w:t>were acquired</w:t>
      </w:r>
      <w:r w:rsidR="000062BE">
        <w:rPr>
          <w:rFonts w:cs="Times New Roman"/>
          <w:szCs w:val="24"/>
          <w:lang w:eastAsia="en-US"/>
        </w:rPr>
        <w:t xml:space="preserve">. </w:t>
      </w:r>
      <w:r w:rsidR="000062BE" w:rsidRPr="000062BE">
        <w:rPr>
          <w:rFonts w:cs="Times New Roman"/>
          <w:szCs w:val="24"/>
          <w:lang w:eastAsia="en-US"/>
        </w:rPr>
        <w:t>The R© programme (Version 3.4.1) (R foundation, Vienna, Austria) was used</w:t>
      </w:r>
      <w:r w:rsidR="000062BE">
        <w:rPr>
          <w:rFonts w:cs="Times New Roman"/>
          <w:szCs w:val="24"/>
          <w:lang w:eastAsia="en-US"/>
        </w:rPr>
        <w:t xml:space="preserve"> for all data manipulation and statistical analyses. Episodes of </w:t>
      </w:r>
      <w:r w:rsidR="009F2A79">
        <w:rPr>
          <w:rFonts w:cs="Times New Roman"/>
          <w:szCs w:val="24"/>
          <w:lang w:eastAsia="en-US"/>
        </w:rPr>
        <w:t>patients</w:t>
      </w:r>
      <w:r w:rsidR="000062BE">
        <w:rPr>
          <w:rFonts w:cs="Times New Roman"/>
          <w:szCs w:val="24"/>
          <w:lang w:eastAsia="en-US"/>
        </w:rPr>
        <w:t xml:space="preserve"> who received at least a repair for infrarenal aortic aneurysm</w:t>
      </w:r>
      <w:r w:rsidR="009F2A79">
        <w:rPr>
          <w:rFonts w:cs="Times New Roman"/>
          <w:szCs w:val="24"/>
          <w:lang w:eastAsia="en-US"/>
        </w:rPr>
        <w:t xml:space="preserve"> were identified and extracted</w:t>
      </w:r>
      <w:r w:rsidR="000062BE">
        <w:rPr>
          <w:rFonts w:cs="Times New Roman"/>
          <w:szCs w:val="24"/>
          <w:lang w:eastAsia="en-US"/>
        </w:rPr>
        <w:t xml:space="preserve"> from source data</w:t>
      </w:r>
      <w:r w:rsidR="009F2A79">
        <w:rPr>
          <w:rFonts w:cs="Times New Roman"/>
          <w:szCs w:val="24"/>
          <w:lang w:eastAsia="en-US"/>
        </w:rPr>
        <w:t xml:space="preserve">. Details of data extraction, cleaning, and validation were reported in another publication (Aber et al., 2018). </w:t>
      </w:r>
      <w:r w:rsidR="009F2A79">
        <w:rPr>
          <w:rFonts w:cs="Times New Roman"/>
        </w:rPr>
        <w:t xml:space="preserve">The episodes </w:t>
      </w:r>
      <w:r>
        <w:rPr>
          <w:rFonts w:cs="Times New Roman"/>
        </w:rPr>
        <w:t>were then sorted chronologically and grouped into NHS spells and Continuous Inpatient Stays (CIPS). The whole patient pathway was described in terms of a series of episodes, spells and CIPS that were captured in HES data.</w:t>
      </w:r>
      <w:r w:rsidR="00654EC6">
        <w:rPr>
          <w:rFonts w:cs="Times New Roman"/>
        </w:rPr>
        <w:t xml:space="preserve"> </w:t>
      </w:r>
      <w:r w:rsidR="00DC7B43">
        <w:rPr>
          <w:rFonts w:cs="Times New Roman"/>
        </w:rPr>
        <w:t xml:space="preserve">The index </w:t>
      </w:r>
      <w:r w:rsidR="00654EC6">
        <w:rPr>
          <w:rFonts w:cs="Times New Roman"/>
        </w:rPr>
        <w:t>episode</w:t>
      </w:r>
      <w:r w:rsidR="00DC7B43">
        <w:rPr>
          <w:rFonts w:cs="Times New Roman"/>
        </w:rPr>
        <w:t xml:space="preserve"> was defined as the </w:t>
      </w:r>
      <w:r w:rsidR="00654EC6">
        <w:rPr>
          <w:rFonts w:cs="Times New Roman"/>
        </w:rPr>
        <w:t>first episode</w:t>
      </w:r>
      <w:r w:rsidR="00DC7B43">
        <w:rPr>
          <w:rFonts w:cs="Times New Roman"/>
        </w:rPr>
        <w:t xml:space="preserve"> where </w:t>
      </w:r>
      <w:r w:rsidR="00DC7B43" w:rsidRPr="00E451B3">
        <w:rPr>
          <w:rFonts w:cs="Times New Roman"/>
        </w:rPr>
        <w:t>patient</w:t>
      </w:r>
      <w:r w:rsidR="00DC7B43">
        <w:rPr>
          <w:rFonts w:cs="Times New Roman"/>
        </w:rPr>
        <w:t>s</w:t>
      </w:r>
      <w:r w:rsidR="00DC7B43" w:rsidRPr="00E451B3">
        <w:rPr>
          <w:rFonts w:cs="Times New Roman"/>
        </w:rPr>
        <w:t xml:space="preserve"> received their f</w:t>
      </w:r>
      <w:r w:rsidR="000062BE">
        <w:rPr>
          <w:rFonts w:cs="Times New Roman"/>
        </w:rPr>
        <w:t>irst aneurysm repair</w:t>
      </w:r>
      <w:r w:rsidR="00DC7B43" w:rsidRPr="00E451B3">
        <w:rPr>
          <w:rFonts w:cs="Times New Roman"/>
        </w:rPr>
        <w:t>.</w:t>
      </w:r>
      <w:r w:rsidR="00D867AE">
        <w:rPr>
          <w:rFonts w:cs="Times New Roman"/>
        </w:rPr>
        <w:t xml:space="preserve"> </w:t>
      </w:r>
      <w:r w:rsidR="00313EBF">
        <w:rPr>
          <w:rFonts w:cs="Times New Roman"/>
        </w:rPr>
        <w:t xml:space="preserve">Each in-patient episode had a unique key to be linked with a critical care dataset that contains information about critical care episodes that took place within an in-patient episode. </w:t>
      </w:r>
      <w:r w:rsidR="00654EC6">
        <w:rPr>
          <w:rFonts w:cs="Times New Roman"/>
        </w:rPr>
        <w:t>The primary outcome of interest</w:t>
      </w:r>
      <w:r w:rsidR="00DC7B43">
        <w:rPr>
          <w:rFonts w:cs="Times New Roman"/>
        </w:rPr>
        <w:t xml:space="preserve"> was</w:t>
      </w:r>
      <w:r w:rsidR="00654EC6">
        <w:rPr>
          <w:rFonts w:cs="Times New Roman"/>
        </w:rPr>
        <w:t xml:space="preserve"> the hospital cost of these index episodes</w:t>
      </w:r>
      <w:r w:rsidR="00313EBF">
        <w:rPr>
          <w:rFonts w:cs="Times New Roman"/>
        </w:rPr>
        <w:t xml:space="preserve"> including the cost of critical care</w:t>
      </w:r>
      <w:r w:rsidR="00654EC6">
        <w:rPr>
          <w:rFonts w:cs="Times New Roman"/>
        </w:rPr>
        <w:t xml:space="preserve"> and how it was influenced by case-mix factors and volumes. </w:t>
      </w:r>
      <w:r w:rsidR="00DC7B43">
        <w:rPr>
          <w:rFonts w:cs="Times New Roman"/>
        </w:rPr>
        <w:t xml:space="preserve"> </w:t>
      </w:r>
    </w:p>
    <w:p w14:paraId="2BFD56C1" w14:textId="14E46109" w:rsidR="004038A0" w:rsidRDefault="004038A0" w:rsidP="00E9525C">
      <w:pPr>
        <w:spacing w:line="360" w:lineRule="auto"/>
        <w:jc w:val="both"/>
        <w:rPr>
          <w:rFonts w:eastAsiaTheme="minorHAnsi" w:cs="Times New Roman"/>
          <w:i/>
          <w:lang w:eastAsia="en-US"/>
        </w:rPr>
      </w:pPr>
    </w:p>
    <w:p w14:paraId="2C173AA4" w14:textId="225B0D5F" w:rsidR="00654EC6" w:rsidRPr="00757FAA" w:rsidRDefault="00654EC6" w:rsidP="00757FAA">
      <w:pPr>
        <w:pStyle w:val="Heading2"/>
        <w:numPr>
          <w:ilvl w:val="0"/>
          <w:numId w:val="0"/>
        </w:numPr>
        <w:ind w:left="576" w:hanging="576"/>
      </w:pPr>
      <w:r w:rsidRPr="00757FAA">
        <w:t>Costing of HES data</w:t>
      </w:r>
      <w:r w:rsidR="00DE7D7E" w:rsidRPr="00757FAA">
        <w:t xml:space="preserve"> using the year-specific Groupers and Reference Cost Datasets</w:t>
      </w:r>
    </w:p>
    <w:p w14:paraId="3D916849" w14:textId="30DDB1AC" w:rsidR="00DE7D7E" w:rsidRDefault="00DE7D7E" w:rsidP="00654EC6">
      <w:pPr>
        <w:spacing w:line="360" w:lineRule="auto"/>
        <w:jc w:val="both"/>
        <w:rPr>
          <w:rFonts w:cs="Times New Roman"/>
        </w:rPr>
      </w:pPr>
      <w:r>
        <w:rPr>
          <w:rFonts w:cs="Times New Roman"/>
        </w:rPr>
        <w:t>A two-stage process was used t</w:t>
      </w:r>
      <w:r w:rsidR="00313EBF">
        <w:rPr>
          <w:rFonts w:cs="Times New Roman"/>
        </w:rPr>
        <w:t xml:space="preserve">o cost the </w:t>
      </w:r>
      <w:r>
        <w:rPr>
          <w:rFonts w:cs="Times New Roman"/>
        </w:rPr>
        <w:t>episodes</w:t>
      </w:r>
      <w:r w:rsidR="00313EBF">
        <w:rPr>
          <w:rFonts w:cs="Times New Roman"/>
        </w:rPr>
        <w:t xml:space="preserve"> (in-patient episodes and critical care episodes)</w:t>
      </w:r>
      <w:r>
        <w:rPr>
          <w:rFonts w:cs="Times New Roman"/>
        </w:rPr>
        <w:t>. The first stage was to assign a Health Resource Group (HRG) code to an episode using a specific Grouper that was relevant for the financial year of the episode. For example, an episode in 200809 was assigned a HRG4 code using the 200809 Grouper whereas an episode in 201415 was assigned a HRG4+ code using the 201415 Grouper.</w:t>
      </w:r>
      <w:r w:rsidR="00313EBF">
        <w:rPr>
          <w:rFonts w:cs="Times New Roman"/>
        </w:rPr>
        <w:t xml:space="preserve"> It should be noted that </w:t>
      </w:r>
      <w:r w:rsidR="00963321">
        <w:rPr>
          <w:rFonts w:cs="Times New Roman"/>
        </w:rPr>
        <w:t xml:space="preserve">critical care episodes were stored in a separate dataset from the main in-patient dataset and they </w:t>
      </w:r>
      <w:r w:rsidR="00963321">
        <w:rPr>
          <w:rFonts w:cs="Times New Roman"/>
        </w:rPr>
        <w:lastRenderedPageBreak/>
        <w:t>had their own HRG codes different from the main in-patient HRG codes. More information about HRG coding</w:t>
      </w:r>
      <w:r>
        <w:rPr>
          <w:rFonts w:cs="Times New Roman"/>
        </w:rPr>
        <w:t xml:space="preserve"> and the Groupers is referred to the NHS digital. </w:t>
      </w:r>
    </w:p>
    <w:p w14:paraId="10E3483E" w14:textId="62011C59" w:rsidR="00DE7D7E" w:rsidRDefault="00DE7D7E" w:rsidP="00654EC6">
      <w:pPr>
        <w:spacing w:line="360" w:lineRule="auto"/>
        <w:jc w:val="both"/>
        <w:rPr>
          <w:rFonts w:cs="Times New Roman"/>
        </w:rPr>
      </w:pPr>
    </w:p>
    <w:p w14:paraId="763957F1" w14:textId="56EB8113" w:rsidR="00B17AD5" w:rsidRDefault="00DE7D7E" w:rsidP="00654EC6">
      <w:pPr>
        <w:spacing w:line="360" w:lineRule="auto"/>
        <w:jc w:val="both"/>
        <w:rPr>
          <w:rFonts w:cs="Times New Roman"/>
        </w:rPr>
      </w:pPr>
      <w:r>
        <w:rPr>
          <w:rFonts w:cs="Times New Roman"/>
        </w:rPr>
        <w:t>In the second stage,</w:t>
      </w:r>
      <w:r w:rsidR="00313EBF">
        <w:rPr>
          <w:rFonts w:cs="Times New Roman"/>
        </w:rPr>
        <w:t xml:space="preserve"> a year-specific reference cost dataset was used to cost an episode based on its HRG code, financial year, and other classification characteristics such as mode of admission (elective, emergency, day case, etc.), treatment specialty, and excessive length of stay (excess bed days). </w:t>
      </w:r>
      <w:r w:rsidR="00486DCD">
        <w:rPr>
          <w:rFonts w:cs="Times New Roman"/>
        </w:rPr>
        <w:t xml:space="preserve">Since we were also </w:t>
      </w:r>
      <w:r w:rsidR="00993653">
        <w:rPr>
          <w:rFonts w:cs="Times New Roman"/>
        </w:rPr>
        <w:t xml:space="preserve">interested in the relationship between cost and volume the provider-specific unit costs were used in our study; however, we also compare some descriptive results using the national-average unit costs. </w:t>
      </w:r>
      <w:r w:rsidR="00B17AD5">
        <w:rPr>
          <w:rFonts w:cs="Times New Roman"/>
        </w:rPr>
        <w:t>All costs were inflated to 2014/15 £ using the hospital and communit</w:t>
      </w:r>
      <w:r w:rsidR="00CF00DD">
        <w:rPr>
          <w:rFonts w:cs="Times New Roman"/>
        </w:rPr>
        <w:t>y health services (HCHS) index</w:t>
      </w:r>
      <w:r w:rsidR="00993653">
        <w:rPr>
          <w:rFonts w:cs="Times New Roman"/>
          <w:i/>
        </w:rPr>
        <w:t xml:space="preserve">. </w:t>
      </w:r>
      <w:r w:rsidR="00993653">
        <w:rPr>
          <w:rFonts w:cs="Times New Roman"/>
        </w:rPr>
        <w:t xml:space="preserve">For example, an episode in 200809 was costed using the provider-specific unit cost information from the </w:t>
      </w:r>
      <w:proofErr w:type="gramStart"/>
      <w:r w:rsidR="00993653">
        <w:rPr>
          <w:rFonts w:cs="Times New Roman"/>
        </w:rPr>
        <w:t>200809 reference</w:t>
      </w:r>
      <w:proofErr w:type="gramEnd"/>
      <w:r w:rsidR="00993653">
        <w:rPr>
          <w:rFonts w:cs="Times New Roman"/>
        </w:rPr>
        <w:t xml:space="preserve"> cost dataset, and then inflated to 2014/15 £.   </w:t>
      </w:r>
    </w:p>
    <w:p w14:paraId="1BC69852" w14:textId="672044FE" w:rsidR="00EE6646" w:rsidRDefault="00EE6646" w:rsidP="00654EC6">
      <w:pPr>
        <w:spacing w:line="360" w:lineRule="auto"/>
        <w:jc w:val="both"/>
        <w:rPr>
          <w:rFonts w:cs="Times New Roman"/>
        </w:rPr>
      </w:pPr>
    </w:p>
    <w:p w14:paraId="4475F21C" w14:textId="2522C175" w:rsidR="00D32995" w:rsidRDefault="00EE6646" w:rsidP="00654EC6">
      <w:pPr>
        <w:spacing w:line="360" w:lineRule="auto"/>
        <w:jc w:val="both"/>
        <w:rPr>
          <w:rFonts w:cs="Times New Roman"/>
        </w:rPr>
      </w:pPr>
      <w:r>
        <w:rPr>
          <w:rFonts w:cs="Times New Roman"/>
        </w:rPr>
        <w:t xml:space="preserve">Missing data </w:t>
      </w:r>
      <w:r w:rsidR="000679E9">
        <w:rPr>
          <w:rFonts w:cs="Times New Roman"/>
        </w:rPr>
        <w:t xml:space="preserve">arose in both stages. With the HRG grouping stage, </w:t>
      </w:r>
      <w:r w:rsidR="007D4850">
        <w:rPr>
          <w:rFonts w:cs="Times New Roman"/>
        </w:rPr>
        <w:t>14 (0.03%) out of 42960</w:t>
      </w:r>
      <w:r w:rsidR="00085935">
        <w:rPr>
          <w:rFonts w:cs="Times New Roman"/>
        </w:rPr>
        <w:t xml:space="preserve"> episodes could not be grouped due to missing or invalid information in the episode (i.e. invalid main diagnosis). </w:t>
      </w:r>
      <w:r w:rsidR="00912523">
        <w:rPr>
          <w:rFonts w:cs="Times New Roman"/>
        </w:rPr>
        <w:t>More missing data arose with the costing stage. In particular,</w:t>
      </w:r>
      <w:r w:rsidR="00085935">
        <w:rPr>
          <w:rFonts w:cs="Times New Roman"/>
        </w:rPr>
        <w:t xml:space="preserve"> more missing data occurred with provider-specific unit costs than with national-</w:t>
      </w:r>
      <w:r w:rsidR="00912523">
        <w:rPr>
          <w:rFonts w:cs="Times New Roman"/>
        </w:rPr>
        <w:t xml:space="preserve">average unit costs. One of the main reasons was the issue with treatment specialty codes in the episode that does not correspond with those reported in the reference cost datasets. For example, </w:t>
      </w:r>
      <w:r w:rsidR="000B1A2A">
        <w:rPr>
          <w:rFonts w:cs="Times New Roman"/>
        </w:rPr>
        <w:t>many episodes recorded a treatment specialty code of 192 (critical care medicine) which did not match with the treatment specialty co</w:t>
      </w:r>
      <w:r w:rsidR="00D32995">
        <w:rPr>
          <w:rFonts w:cs="Times New Roman"/>
        </w:rPr>
        <w:t xml:space="preserve">des reported by the providers.  To overcome the issue of missing data with provider-specific unit costs, we used the following assumptions to impute the values where possible: </w:t>
      </w:r>
    </w:p>
    <w:p w14:paraId="4FDF8DA3" w14:textId="77777777" w:rsidR="00FD1A4F" w:rsidRPr="00757FAA" w:rsidRDefault="006E75D8" w:rsidP="00757FAA">
      <w:pPr>
        <w:spacing w:line="360" w:lineRule="auto"/>
        <w:ind w:left="360"/>
        <w:jc w:val="both"/>
        <w:rPr>
          <w:rFonts w:cs="Times New Roman"/>
        </w:rPr>
      </w:pPr>
      <w:r w:rsidRPr="00757FAA">
        <w:rPr>
          <w:rFonts w:cs="Times New Roman"/>
        </w:rPr>
        <w:t>(1) where a specialty code did not match with any from the reference cost dataset, an average value was used for imputation. For example,</w:t>
      </w:r>
      <w:r w:rsidR="00A20EA6" w:rsidRPr="00757FAA">
        <w:rPr>
          <w:rFonts w:cs="Times New Roman"/>
        </w:rPr>
        <w:t xml:space="preserve"> </w:t>
      </w:r>
      <w:r w:rsidRPr="00757FAA">
        <w:rPr>
          <w:rFonts w:cs="Times New Roman"/>
        </w:rPr>
        <w:t xml:space="preserve">if a treatment specialty code of 192 could not be matched with any unit cost from the </w:t>
      </w:r>
      <w:r w:rsidR="00A20EA6" w:rsidRPr="00757FAA">
        <w:rPr>
          <w:rFonts w:cs="Times New Roman"/>
        </w:rPr>
        <w:t>reference cost dataset but there are provider-specific unit costs available for other specialties codes such as 100,107, etc., their averaged value was used for imputation of the 192 specialty code (keep the same classification information on other fields i.e. HRG, department).</w:t>
      </w:r>
    </w:p>
    <w:p w14:paraId="7A023B80" w14:textId="44B9ADD9" w:rsidR="00D32995" w:rsidRPr="00757FAA" w:rsidRDefault="00FD1A4F" w:rsidP="00757FAA">
      <w:pPr>
        <w:spacing w:line="360" w:lineRule="auto"/>
        <w:ind w:left="360"/>
        <w:jc w:val="both"/>
        <w:rPr>
          <w:rFonts w:cs="Times New Roman"/>
        </w:rPr>
      </w:pPr>
      <w:r w:rsidRPr="00757FAA">
        <w:rPr>
          <w:rFonts w:cs="Times New Roman"/>
        </w:rPr>
        <w:t xml:space="preserve">(2) where a provider-specific unit cost was still not available even after the imputation in (1) (only a few), it was imputed by the relevant national-average unit cost.    </w:t>
      </w:r>
      <w:r w:rsidR="00A20EA6" w:rsidRPr="00757FAA">
        <w:rPr>
          <w:rFonts w:cs="Times New Roman"/>
        </w:rPr>
        <w:t xml:space="preserve">  </w:t>
      </w:r>
    </w:p>
    <w:p w14:paraId="3AC80CCC" w14:textId="77777777" w:rsidR="00486DCD" w:rsidRDefault="00486DCD" w:rsidP="00654EC6">
      <w:pPr>
        <w:spacing w:line="360" w:lineRule="auto"/>
        <w:jc w:val="both"/>
        <w:rPr>
          <w:rFonts w:cs="Times New Roman"/>
        </w:rPr>
      </w:pPr>
    </w:p>
    <w:p w14:paraId="5FA95A4C" w14:textId="4E9ADEA6" w:rsidR="00DE7D7E" w:rsidRDefault="00963321" w:rsidP="00654EC6">
      <w:pPr>
        <w:spacing w:line="360" w:lineRule="auto"/>
        <w:jc w:val="both"/>
        <w:rPr>
          <w:rFonts w:cs="Times New Roman"/>
        </w:rPr>
      </w:pPr>
      <w:r>
        <w:rPr>
          <w:rFonts w:cs="Times New Roman"/>
        </w:rPr>
        <w:t>The total hospital cost of an aortic aneurysm repair episode</w:t>
      </w:r>
      <w:r w:rsidR="00313EBF">
        <w:rPr>
          <w:rFonts w:cs="Times New Roman"/>
        </w:rPr>
        <w:t xml:space="preserve"> </w:t>
      </w:r>
      <w:r>
        <w:rPr>
          <w:rFonts w:cs="Times New Roman"/>
        </w:rPr>
        <w:t xml:space="preserve">includes four components: </w:t>
      </w:r>
      <w:r w:rsidR="00B17AD5">
        <w:rPr>
          <w:rFonts w:cs="Times New Roman"/>
        </w:rPr>
        <w:t xml:space="preserve">the base cost of the in-patient episode (corresponding to the in-patient HRG code), the cost of excess </w:t>
      </w:r>
      <w:r w:rsidR="00B17AD5">
        <w:rPr>
          <w:rFonts w:cs="Times New Roman"/>
        </w:rPr>
        <w:lastRenderedPageBreak/>
        <w:t>bed days (varied depending on the in-patient HRG, mode of admission, and the number of days that is beyond the trim point</w:t>
      </w:r>
      <w:r w:rsidR="00486DCD">
        <w:rPr>
          <w:rFonts w:cs="Times New Roman"/>
        </w:rPr>
        <w:t xml:space="preserve"> - </w:t>
      </w:r>
      <w:r w:rsidR="00486DCD" w:rsidRPr="00486DCD">
        <w:rPr>
          <w:rFonts w:cs="Times New Roman"/>
        </w:rPr>
        <w:t>per diem cost</w:t>
      </w:r>
      <w:r w:rsidR="00B17AD5" w:rsidRPr="00486DCD">
        <w:rPr>
          <w:rFonts w:cs="Times New Roman"/>
        </w:rPr>
        <w:t>)</w:t>
      </w:r>
      <w:r w:rsidR="00B17AD5">
        <w:rPr>
          <w:rFonts w:cs="Times New Roman"/>
        </w:rPr>
        <w:t xml:space="preserve">, the cost of critical care, and the cost of other unbundled services such as diagnostic imaging (corresponding to unbundled HRG codes). </w:t>
      </w:r>
    </w:p>
    <w:p w14:paraId="04B0E6BB" w14:textId="4EB6B6B0" w:rsidR="00F866AA" w:rsidRDefault="00F866AA" w:rsidP="00654EC6">
      <w:pPr>
        <w:spacing w:line="360" w:lineRule="auto"/>
        <w:jc w:val="both"/>
        <w:rPr>
          <w:rFonts w:cs="Times New Roman"/>
        </w:rPr>
      </w:pPr>
    </w:p>
    <w:p w14:paraId="3BDC0A60" w14:textId="139F00CD" w:rsidR="00FC7137" w:rsidRPr="00EC6B02" w:rsidRDefault="00FC7137" w:rsidP="00EC6B02">
      <w:pPr>
        <w:pStyle w:val="Heading2"/>
        <w:numPr>
          <w:ilvl w:val="0"/>
          <w:numId w:val="0"/>
        </w:numPr>
        <w:ind w:left="576" w:hanging="576"/>
      </w:pPr>
      <w:r w:rsidRPr="00EC6B02">
        <w:t>Market Forces Factor (MFF)</w:t>
      </w:r>
    </w:p>
    <w:p w14:paraId="06B2010E" w14:textId="7088909E" w:rsidR="00F865DB" w:rsidRPr="00F865DB" w:rsidRDefault="00F865DB" w:rsidP="00757FAA">
      <w:pPr>
        <w:spacing w:line="360" w:lineRule="auto"/>
        <w:jc w:val="both"/>
        <w:rPr>
          <w:rFonts w:cs="Times New Roman"/>
        </w:rPr>
      </w:pPr>
      <w:r>
        <w:rPr>
          <w:rFonts w:cs="Times New Roman"/>
        </w:rPr>
        <w:t>“</w:t>
      </w:r>
      <w:r w:rsidR="00FC7137" w:rsidRPr="00F865DB">
        <w:rPr>
          <w:rFonts w:cs="Times New Roman"/>
        </w:rPr>
        <w:t>The Market Forces Factor is an estimate of unavoidable cost differences between health care providers, based</w:t>
      </w:r>
      <w:r>
        <w:rPr>
          <w:rFonts w:cs="Times New Roman"/>
        </w:rPr>
        <w:t xml:space="preserve"> on their geographical location” </w:t>
      </w:r>
      <w:r w:rsidR="00757FAA">
        <w:rPr>
          <w:rFonts w:cs="Times New Roman"/>
        </w:rPr>
        <w:t xml:space="preserve">- </w:t>
      </w:r>
      <w:r>
        <w:rPr>
          <w:rFonts w:cs="Times New Roman"/>
        </w:rPr>
        <w:t>NHS England, 2015</w:t>
      </w:r>
      <w:r w:rsidR="00757FAA">
        <w:rPr>
          <w:rFonts w:cs="Times New Roman"/>
        </w:rPr>
        <w:t xml:space="preserve"> [5].</w:t>
      </w:r>
      <w:r w:rsidR="00FC7137" w:rsidRPr="00F865DB">
        <w:rPr>
          <w:rFonts w:cs="Times New Roman"/>
        </w:rPr>
        <w:t xml:space="preserve"> </w:t>
      </w:r>
    </w:p>
    <w:p w14:paraId="2664CB36" w14:textId="77777777" w:rsidR="00BC7E9F" w:rsidRDefault="00BC7E9F" w:rsidP="00632EF0">
      <w:pPr>
        <w:spacing w:after="160" w:line="360" w:lineRule="auto"/>
        <w:jc w:val="both"/>
        <w:rPr>
          <w:rFonts w:cs="Times New Roman"/>
        </w:rPr>
      </w:pPr>
    </w:p>
    <w:p w14:paraId="1DBEB1A2" w14:textId="557FE443" w:rsidR="00632EF0" w:rsidRDefault="00F865DB" w:rsidP="00632EF0">
      <w:pPr>
        <w:spacing w:after="160" w:line="360" w:lineRule="auto"/>
        <w:jc w:val="both"/>
        <w:rPr>
          <w:rFonts w:cs="Times New Roman"/>
        </w:rPr>
      </w:pPr>
      <w:r>
        <w:rPr>
          <w:rFonts w:cs="Times New Roman"/>
        </w:rPr>
        <w:t xml:space="preserve">The MFF is not included in the HES data. It is calculated separately using provider-specific information and is used to adjust cost differences between providers for the purposes of allocating commissioner funding or calculating national prices. </w:t>
      </w:r>
      <w:r w:rsidR="00870DFC">
        <w:rPr>
          <w:rFonts w:cs="Times New Roman"/>
        </w:rPr>
        <w:t xml:space="preserve">The differences between the MFF of different providers reflect the variation in unavoidable costs (including costs of non-medical staff, medical and dental staff, land, and buildings) a provider faces. </w:t>
      </w:r>
      <w:r w:rsidR="00632EF0">
        <w:rPr>
          <w:rFonts w:cs="Times New Roman"/>
        </w:rPr>
        <w:t xml:space="preserve">More information about the MFF and its calculation is referred to the NHS England’s guide. </w:t>
      </w:r>
    </w:p>
    <w:p w14:paraId="5A31A2ED" w14:textId="28878B96" w:rsidR="00FC7137" w:rsidRDefault="00FE4B41" w:rsidP="00632EF0">
      <w:pPr>
        <w:spacing w:after="160" w:line="360" w:lineRule="auto"/>
        <w:jc w:val="both"/>
        <w:rPr>
          <w:rFonts w:cs="Times New Roman"/>
        </w:rPr>
      </w:pPr>
      <w:r>
        <w:rPr>
          <w:rFonts w:cs="Times New Roman"/>
        </w:rPr>
        <w:t>There are two MFF values: underlying MFF and rebased MFF. The rebased value is just the normalised value of MFF. It is the underlying value divided through by the minimum value across all providers in a specific year. The rebased</w:t>
      </w:r>
      <w:r w:rsidR="006A7FC2">
        <w:rPr>
          <w:rFonts w:cs="Times New Roman"/>
        </w:rPr>
        <w:t xml:space="preserve"> </w:t>
      </w:r>
      <w:r>
        <w:rPr>
          <w:rFonts w:cs="Times New Roman"/>
        </w:rPr>
        <w:t xml:space="preserve">MFF score was used in our analyses. </w:t>
      </w:r>
      <w:r w:rsidR="00632EF0">
        <w:rPr>
          <w:rFonts w:cs="Times New Roman"/>
        </w:rPr>
        <w:t xml:space="preserve">The MFF was used in our analyses as a provider factor that would explain the variation in the costs of AAA repairs. </w:t>
      </w:r>
    </w:p>
    <w:p w14:paraId="6CB87058" w14:textId="39E297F3" w:rsidR="00FE4B41" w:rsidRDefault="00FE4B41" w:rsidP="00654EC6">
      <w:pPr>
        <w:spacing w:line="360" w:lineRule="auto"/>
        <w:jc w:val="both"/>
        <w:rPr>
          <w:rFonts w:cs="Times New Roman"/>
        </w:rPr>
      </w:pPr>
    </w:p>
    <w:p w14:paraId="15B50D17" w14:textId="7FAD07F5" w:rsidR="00D867AE" w:rsidRPr="00D867AE" w:rsidRDefault="00D867AE" w:rsidP="00EC6B02">
      <w:pPr>
        <w:pStyle w:val="Heading2"/>
        <w:numPr>
          <w:ilvl w:val="0"/>
          <w:numId w:val="0"/>
        </w:numPr>
        <w:ind w:left="576" w:hanging="576"/>
      </w:pPr>
      <w:r>
        <w:t>Statistical analyses</w:t>
      </w:r>
    </w:p>
    <w:p w14:paraId="61ACAC03" w14:textId="160EAB92" w:rsidR="00892292" w:rsidRDefault="00486DCD" w:rsidP="00892292">
      <w:pPr>
        <w:spacing w:line="360" w:lineRule="auto"/>
        <w:jc w:val="both"/>
        <w:rPr>
          <w:rFonts w:cs="Times New Roman"/>
        </w:rPr>
      </w:pPr>
      <w:r>
        <w:t xml:space="preserve">The outcomes of interest are </w:t>
      </w:r>
      <w:r w:rsidR="009C6C48">
        <w:t xml:space="preserve">costs </w:t>
      </w:r>
      <w:r>
        <w:t xml:space="preserve">of the index episode for AAA patients. </w:t>
      </w:r>
      <w:r w:rsidR="00F07556">
        <w:rPr>
          <w:rFonts w:cs="Times New Roman"/>
        </w:rPr>
        <w:t>Given the clinical differences and to reduce the effects of interactions, t</w:t>
      </w:r>
      <w:r w:rsidR="00892292">
        <w:rPr>
          <w:rFonts w:cs="Times New Roman"/>
        </w:rPr>
        <w:t xml:space="preserve">he whole patient cohort was divided into four groups: ruptured, non-ruptured emergency, elective open repair, and elective EVAR. This division was based on expert opinion from our clinical advisers and making sure each group still containing enough cases for the analyses.  </w:t>
      </w:r>
    </w:p>
    <w:p w14:paraId="5D276708" w14:textId="746D616A" w:rsidR="00623438" w:rsidRDefault="00623438" w:rsidP="00892292">
      <w:pPr>
        <w:spacing w:line="360" w:lineRule="auto"/>
        <w:jc w:val="both"/>
        <w:rPr>
          <w:rFonts w:cs="Times New Roman"/>
        </w:rPr>
      </w:pPr>
    </w:p>
    <w:p w14:paraId="233F0D21" w14:textId="0FCF4A5A" w:rsidR="00623438" w:rsidRPr="00486DCD" w:rsidRDefault="00623438" w:rsidP="00892292">
      <w:pPr>
        <w:spacing w:line="360" w:lineRule="auto"/>
        <w:jc w:val="both"/>
        <w:rPr>
          <w:rFonts w:eastAsiaTheme="minorHAnsi" w:cs="Times New Roman"/>
          <w:lang w:eastAsia="en-US"/>
        </w:rPr>
      </w:pPr>
      <w:r>
        <w:rPr>
          <w:rFonts w:eastAsiaTheme="minorHAnsi" w:cs="Times New Roman"/>
          <w:lang w:eastAsia="en-US"/>
        </w:rPr>
        <w:t xml:space="preserve">Patient, admission, and </w:t>
      </w:r>
      <w:r w:rsidRPr="00623438">
        <w:rPr>
          <w:rFonts w:eastAsiaTheme="minorHAnsi" w:cs="Times New Roman"/>
          <w:lang w:eastAsia="en-US"/>
        </w:rPr>
        <w:t>provider characteristics were considered alongside HES data year as predictive variables. Patient characteristics</w:t>
      </w:r>
      <w:r>
        <w:rPr>
          <w:rFonts w:eastAsiaTheme="minorHAnsi" w:cs="Times New Roman"/>
          <w:lang w:eastAsia="en-US"/>
        </w:rPr>
        <w:t xml:space="preserve"> included age, gender</w:t>
      </w:r>
      <w:r w:rsidRPr="00623438">
        <w:rPr>
          <w:rFonts w:eastAsiaTheme="minorHAnsi" w:cs="Times New Roman"/>
          <w:lang w:eastAsia="en-US"/>
        </w:rPr>
        <w:t>, index of multiple deprivation (IMD), distance to hospit</w:t>
      </w:r>
      <w:r>
        <w:rPr>
          <w:rFonts w:eastAsiaTheme="minorHAnsi" w:cs="Times New Roman"/>
          <w:lang w:eastAsia="en-US"/>
        </w:rPr>
        <w:t>al, ruptured aneurysm, a</w:t>
      </w:r>
      <w:r w:rsidRPr="00623438">
        <w:rPr>
          <w:rFonts w:eastAsiaTheme="minorHAnsi" w:cs="Times New Roman"/>
          <w:lang w:eastAsia="en-US"/>
        </w:rPr>
        <w:t>nd comorbidities.</w:t>
      </w:r>
      <w:r>
        <w:rPr>
          <w:rFonts w:eastAsiaTheme="minorHAnsi" w:cs="Times New Roman"/>
          <w:lang w:eastAsia="en-US"/>
        </w:rPr>
        <w:t xml:space="preserve"> Admission characteristics included mode of admission</w:t>
      </w:r>
      <w:r w:rsidR="009C6C48">
        <w:rPr>
          <w:rFonts w:eastAsiaTheme="minorHAnsi" w:cs="Times New Roman"/>
          <w:lang w:eastAsia="en-US"/>
        </w:rPr>
        <w:t xml:space="preserve"> (elective versus emergency)</w:t>
      </w:r>
      <w:r>
        <w:rPr>
          <w:rFonts w:eastAsiaTheme="minorHAnsi" w:cs="Times New Roman"/>
          <w:lang w:eastAsia="en-US"/>
        </w:rPr>
        <w:t>,</w:t>
      </w:r>
      <w:r w:rsidR="009C6C48">
        <w:rPr>
          <w:rFonts w:eastAsiaTheme="minorHAnsi" w:cs="Times New Roman"/>
          <w:lang w:eastAsia="en-US"/>
        </w:rPr>
        <w:t xml:space="preserve"> </w:t>
      </w:r>
      <w:r>
        <w:rPr>
          <w:rFonts w:eastAsiaTheme="minorHAnsi" w:cs="Times New Roman"/>
          <w:lang w:eastAsia="en-US"/>
        </w:rPr>
        <w:t xml:space="preserve">type of intervention (open repair vs EVAR), and weekend admission. </w:t>
      </w:r>
      <w:r w:rsidRPr="00623438">
        <w:rPr>
          <w:rFonts w:eastAsiaTheme="minorHAnsi" w:cs="Times New Roman"/>
          <w:lang w:eastAsia="en-US"/>
        </w:rPr>
        <w:t>Provider characte</w:t>
      </w:r>
      <w:r>
        <w:rPr>
          <w:rFonts w:eastAsiaTheme="minorHAnsi" w:cs="Times New Roman"/>
          <w:lang w:eastAsia="en-US"/>
        </w:rPr>
        <w:t>ristics included annual volume (</w:t>
      </w:r>
      <w:r w:rsidRPr="00623438">
        <w:rPr>
          <w:rFonts w:eastAsiaTheme="minorHAnsi" w:cs="Times New Roman"/>
          <w:lang w:eastAsia="en-US"/>
        </w:rPr>
        <w:t xml:space="preserve">measured </w:t>
      </w:r>
      <w:r w:rsidRPr="00623438">
        <w:rPr>
          <w:rFonts w:eastAsiaTheme="minorHAnsi" w:cs="Times New Roman"/>
          <w:lang w:eastAsia="en-US"/>
        </w:rPr>
        <w:lastRenderedPageBreak/>
        <w:t xml:space="preserve">as </w:t>
      </w:r>
      <w:r w:rsidR="00CF00DD">
        <w:rPr>
          <w:rFonts w:eastAsiaTheme="minorHAnsi" w:cs="Times New Roman"/>
          <w:lang w:eastAsia="en-US"/>
        </w:rPr>
        <w:t>all repair cases</w:t>
      </w:r>
      <w:r w:rsidR="009C6C48">
        <w:rPr>
          <w:rFonts w:eastAsiaTheme="minorHAnsi" w:cs="Times New Roman"/>
          <w:lang w:eastAsia="en-US"/>
        </w:rPr>
        <w:t>) and their Market Forces Factor index (see information about MFF above)</w:t>
      </w:r>
      <w:r>
        <w:rPr>
          <w:rFonts w:eastAsiaTheme="minorHAnsi" w:cs="Times New Roman"/>
          <w:lang w:eastAsia="en-US"/>
        </w:rPr>
        <w:t xml:space="preserve">. </w:t>
      </w:r>
      <w:r w:rsidRPr="00623438">
        <w:rPr>
          <w:rFonts w:eastAsiaTheme="minorHAnsi" w:cs="Times New Roman"/>
          <w:lang w:eastAsia="en-US"/>
        </w:rPr>
        <w:t xml:space="preserve">HES year, defined as </w:t>
      </w:r>
      <w:r w:rsidR="002C1649">
        <w:rPr>
          <w:rFonts w:eastAsiaTheme="minorHAnsi" w:cs="Times New Roman"/>
          <w:lang w:eastAsia="en-US"/>
        </w:rPr>
        <w:t>a categorical variable from 2008/09</w:t>
      </w:r>
      <w:r w:rsidRPr="00623438">
        <w:rPr>
          <w:rFonts w:eastAsiaTheme="minorHAnsi" w:cs="Times New Roman"/>
          <w:lang w:eastAsia="en-US"/>
        </w:rPr>
        <w:t xml:space="preserve"> to 2014/15, was also considered as time trend was anticipated.</w:t>
      </w:r>
    </w:p>
    <w:p w14:paraId="6DAC7A7B" w14:textId="652E907A" w:rsidR="00F07556" w:rsidRDefault="00F07556" w:rsidP="00892292">
      <w:pPr>
        <w:spacing w:line="360" w:lineRule="auto"/>
        <w:jc w:val="both"/>
        <w:rPr>
          <w:rFonts w:cs="Times New Roman"/>
        </w:rPr>
      </w:pPr>
    </w:p>
    <w:p w14:paraId="4669856A" w14:textId="21376F2C" w:rsidR="00486DCD" w:rsidRDefault="00632EF0" w:rsidP="00EC6B02">
      <w:pPr>
        <w:pStyle w:val="Heading2"/>
        <w:numPr>
          <w:ilvl w:val="0"/>
          <w:numId w:val="0"/>
        </w:numPr>
        <w:ind w:left="576" w:hanging="576"/>
      </w:pPr>
      <w:r>
        <w:t>Descriptive statistics</w:t>
      </w:r>
      <w:r w:rsidR="00486DCD">
        <w:t xml:space="preserve"> </w:t>
      </w:r>
    </w:p>
    <w:p w14:paraId="34AECF20" w14:textId="7E471D11" w:rsidR="00623438" w:rsidRDefault="00440A61" w:rsidP="00486DCD">
      <w:pPr>
        <w:spacing w:line="360" w:lineRule="auto"/>
        <w:jc w:val="both"/>
        <w:rPr>
          <w:rFonts w:cs="Times New Roman"/>
        </w:rPr>
      </w:pPr>
      <w:r w:rsidRPr="00440A61">
        <w:rPr>
          <w:rFonts w:cs="Times New Roman"/>
        </w:rPr>
        <w:t>Descriptive summary statistics were reported for the patient population</w:t>
      </w:r>
      <w:r>
        <w:rPr>
          <w:rFonts w:cs="Times New Roman"/>
        </w:rPr>
        <w:t xml:space="preserve"> and sub-groups</w:t>
      </w:r>
      <w:r w:rsidR="00632EF0">
        <w:rPr>
          <w:rFonts w:cs="Times New Roman"/>
        </w:rPr>
        <w:t xml:space="preserve">. </w:t>
      </w:r>
      <w:r w:rsidRPr="00440A61">
        <w:rPr>
          <w:rFonts w:cs="Times New Roman"/>
        </w:rPr>
        <w:t xml:space="preserve">The </w:t>
      </w:r>
      <w:r w:rsidR="007F28BF">
        <w:rPr>
          <w:rFonts w:cs="Times New Roman"/>
        </w:rPr>
        <w:t xml:space="preserve">distribution of costs </w:t>
      </w:r>
      <w:r w:rsidRPr="00440A61">
        <w:rPr>
          <w:rFonts w:cs="Times New Roman"/>
        </w:rPr>
        <w:t>and the variation of these with respect to the HES year, patient</w:t>
      </w:r>
      <w:r>
        <w:rPr>
          <w:rFonts w:cs="Times New Roman"/>
        </w:rPr>
        <w:t>, admission</w:t>
      </w:r>
      <w:r w:rsidRPr="00440A61">
        <w:rPr>
          <w:rFonts w:cs="Times New Roman"/>
        </w:rPr>
        <w:t xml:space="preserve"> and provider charact</w:t>
      </w:r>
      <w:r w:rsidR="00565F63">
        <w:rPr>
          <w:rFonts w:cs="Times New Roman"/>
        </w:rPr>
        <w:t>eristics were</w:t>
      </w:r>
      <w:r w:rsidR="00235394">
        <w:rPr>
          <w:rFonts w:cs="Times New Roman"/>
        </w:rPr>
        <w:t xml:space="preserve"> also</w:t>
      </w:r>
      <w:r w:rsidR="00565F63">
        <w:rPr>
          <w:rFonts w:cs="Times New Roman"/>
        </w:rPr>
        <w:t xml:space="preserve"> examined. </w:t>
      </w:r>
    </w:p>
    <w:p w14:paraId="6AD430B5" w14:textId="77777777" w:rsidR="00486DCD" w:rsidRPr="00486DCD" w:rsidRDefault="00486DCD" w:rsidP="00486DCD">
      <w:pPr>
        <w:spacing w:line="360" w:lineRule="auto"/>
        <w:jc w:val="both"/>
        <w:rPr>
          <w:rFonts w:cs="Times New Roman"/>
        </w:rPr>
      </w:pPr>
    </w:p>
    <w:p w14:paraId="3786B3FF" w14:textId="44D90151" w:rsidR="00486DCD" w:rsidRPr="00486DCD" w:rsidRDefault="009C6C48" w:rsidP="00EC6B02">
      <w:pPr>
        <w:pStyle w:val="Heading2"/>
        <w:numPr>
          <w:ilvl w:val="0"/>
          <w:numId w:val="0"/>
        </w:numPr>
        <w:ind w:left="576" w:hanging="576"/>
      </w:pPr>
      <w:r>
        <w:t xml:space="preserve">Multiple </w:t>
      </w:r>
      <w:r w:rsidR="00486DCD">
        <w:t xml:space="preserve">Regression Models </w:t>
      </w:r>
      <w:r w:rsidR="007F28BF">
        <w:t xml:space="preserve">for case-mix adjustment </w:t>
      </w:r>
    </w:p>
    <w:p w14:paraId="779688FD" w14:textId="7AD42DF7" w:rsidR="00565F63" w:rsidRDefault="00632EF0" w:rsidP="00440A61">
      <w:pPr>
        <w:spacing w:line="360" w:lineRule="auto"/>
        <w:jc w:val="both"/>
      </w:pPr>
      <w:r>
        <w:rPr>
          <w:rFonts w:cs="Times New Roman"/>
        </w:rPr>
        <w:t>T</w:t>
      </w:r>
      <w:r w:rsidRPr="00440A61">
        <w:rPr>
          <w:rFonts w:cs="Times New Roman"/>
        </w:rPr>
        <w:t>o reduce the skewness</w:t>
      </w:r>
      <w:r>
        <w:rPr>
          <w:rFonts w:cs="Times New Roman"/>
        </w:rPr>
        <w:t xml:space="preserve"> of cost data, it was </w:t>
      </w:r>
      <w:r w:rsidRPr="00440A61">
        <w:rPr>
          <w:rFonts w:cs="Times New Roman"/>
        </w:rPr>
        <w:t xml:space="preserve">logarithmically transformed. </w:t>
      </w:r>
      <w:r>
        <w:rPr>
          <w:rFonts w:cs="Times New Roman"/>
        </w:rPr>
        <w:t>T</w:t>
      </w:r>
      <w:r w:rsidRPr="00440A61">
        <w:rPr>
          <w:rFonts w:cs="Times New Roman"/>
        </w:rPr>
        <w:t>he re</w:t>
      </w:r>
      <w:r>
        <w:rPr>
          <w:rFonts w:cs="Times New Roman"/>
        </w:rPr>
        <w:t>lationships between the</w:t>
      </w:r>
      <w:r w:rsidRPr="00440A61">
        <w:rPr>
          <w:rFonts w:cs="Times New Roman"/>
        </w:rPr>
        <w:t xml:space="preserve"> log costs and the patien</w:t>
      </w:r>
      <w:r>
        <w:rPr>
          <w:rFonts w:cs="Times New Roman"/>
        </w:rPr>
        <w:t>t characteristics</w:t>
      </w:r>
      <w:r w:rsidRPr="00440A61">
        <w:rPr>
          <w:rFonts w:cs="Times New Roman"/>
        </w:rPr>
        <w:t>,</w:t>
      </w:r>
      <w:r>
        <w:rPr>
          <w:rFonts w:cs="Times New Roman"/>
        </w:rPr>
        <w:t xml:space="preserve"> admission characteristics, provider characteristics </w:t>
      </w:r>
      <w:r w:rsidRPr="00440A61">
        <w:rPr>
          <w:rFonts w:cs="Times New Roman"/>
        </w:rPr>
        <w:t>and HES</w:t>
      </w:r>
      <w:r>
        <w:rPr>
          <w:rFonts w:cs="Times New Roman"/>
        </w:rPr>
        <w:t xml:space="preserve"> </w:t>
      </w:r>
      <w:r w:rsidRPr="00440A61">
        <w:rPr>
          <w:rFonts w:cs="Times New Roman"/>
        </w:rPr>
        <w:t>year</w:t>
      </w:r>
      <w:r>
        <w:rPr>
          <w:rFonts w:cs="Times New Roman"/>
        </w:rPr>
        <w:t xml:space="preserve"> were examined in univariate regression models</w:t>
      </w:r>
      <w:r w:rsidRPr="00440A61">
        <w:rPr>
          <w:rFonts w:cs="Times New Roman"/>
        </w:rPr>
        <w:t>. All variables that meet the significan</w:t>
      </w:r>
      <w:r>
        <w:rPr>
          <w:rFonts w:cs="Times New Roman"/>
        </w:rPr>
        <w:t>ce test of p-value less than 0.05</w:t>
      </w:r>
      <w:r w:rsidRPr="00440A61">
        <w:rPr>
          <w:rFonts w:cs="Times New Roman"/>
        </w:rPr>
        <w:t xml:space="preserve"> were considered for multiple regression analysis.</w:t>
      </w:r>
      <w:r>
        <w:rPr>
          <w:rFonts w:cs="Times New Roman"/>
        </w:rPr>
        <w:t xml:space="preserve"> </w:t>
      </w:r>
      <w:r w:rsidR="00440A61">
        <w:t>Generalised line</w:t>
      </w:r>
      <w:r w:rsidR="00565F63">
        <w:t xml:space="preserve">ar models (GLM) with log link </w:t>
      </w:r>
      <w:r w:rsidR="00440A61">
        <w:t>function and gamm</w:t>
      </w:r>
      <w:r w:rsidR="00565F63">
        <w:t>a distributed errors were used</w:t>
      </w:r>
      <w:r w:rsidR="00440A61">
        <w:t>.</w:t>
      </w:r>
      <w:r w:rsidR="00565F63">
        <w:t xml:space="preserve"> Linear Model with log link function was also compared. </w:t>
      </w:r>
      <w:r w:rsidR="00440A61">
        <w:t xml:space="preserve"> </w:t>
      </w:r>
    </w:p>
    <w:p w14:paraId="1DE8A68B" w14:textId="77777777" w:rsidR="00632EF0" w:rsidRDefault="00632EF0" w:rsidP="00632EF0">
      <w:pPr>
        <w:spacing w:line="360" w:lineRule="auto"/>
        <w:jc w:val="both"/>
      </w:pPr>
    </w:p>
    <w:p w14:paraId="7689E2C1" w14:textId="2C988326" w:rsidR="00440A61" w:rsidRDefault="00632EF0" w:rsidP="00440A61">
      <w:pPr>
        <w:spacing w:line="360" w:lineRule="auto"/>
        <w:jc w:val="both"/>
      </w:pPr>
      <w:r>
        <w:t xml:space="preserve">Backward stepwise approach was used to select the covariates for multiple regression analysis. Initially, a null model was specified without any covariates to provide a ‘baseline’ model of costs. Covariates that were significant in the univariate analysis were subsequently introduced to control for the systematic differences in these variables and also to examine their effect on the costs (or log costs). Covariates that were no longer significant, when controlled for other factors, were excluded. </w:t>
      </w:r>
      <w:r w:rsidR="00440A61">
        <w:t xml:space="preserve">The models were assessed based on their goodness </w:t>
      </w:r>
      <w:r w:rsidR="002C1649">
        <w:t xml:space="preserve">of fit and predictive accuracy. </w:t>
      </w:r>
      <w:r w:rsidR="00440A61">
        <w:t xml:space="preserve">All analyses were conducted in R version </w:t>
      </w:r>
      <w:r w:rsidR="00775CCD">
        <w:t>3.4.1</w:t>
      </w:r>
      <w:r w:rsidR="00440A61">
        <w:t>.</w:t>
      </w:r>
    </w:p>
    <w:p w14:paraId="073AC4AF" w14:textId="63BF3515" w:rsidR="008A5D34" w:rsidRDefault="008A5D34" w:rsidP="00EC6B02">
      <w:pPr>
        <w:pStyle w:val="Heading1"/>
        <w:numPr>
          <w:ilvl w:val="0"/>
          <w:numId w:val="0"/>
        </w:numPr>
        <w:ind w:left="432" w:hanging="432"/>
        <w:rPr>
          <w:lang w:eastAsia="en-US"/>
        </w:rPr>
      </w:pPr>
      <w:r>
        <w:rPr>
          <w:lang w:eastAsia="en-US"/>
        </w:rPr>
        <w:t>R</w:t>
      </w:r>
      <w:r w:rsidR="00EC6B02">
        <w:rPr>
          <w:lang w:eastAsia="en-US"/>
        </w:rPr>
        <w:t>esults</w:t>
      </w:r>
    </w:p>
    <w:p w14:paraId="0D4A59E5" w14:textId="77777777" w:rsidR="008E3341" w:rsidRDefault="008E3341" w:rsidP="00EC6B02">
      <w:pPr>
        <w:pStyle w:val="Heading2"/>
        <w:numPr>
          <w:ilvl w:val="0"/>
          <w:numId w:val="0"/>
        </w:numPr>
        <w:ind w:left="576" w:hanging="576"/>
        <w:rPr>
          <w:lang w:eastAsia="en-US"/>
        </w:rPr>
      </w:pPr>
      <w:r>
        <w:rPr>
          <w:lang w:eastAsia="en-US"/>
        </w:rPr>
        <w:t xml:space="preserve">Data quality </w:t>
      </w:r>
    </w:p>
    <w:p w14:paraId="0C74FA39" w14:textId="04C217FD" w:rsidR="0038318B" w:rsidRDefault="008E3341" w:rsidP="00235394">
      <w:pPr>
        <w:spacing w:line="360" w:lineRule="auto"/>
        <w:jc w:val="both"/>
        <w:rPr>
          <w:rFonts w:eastAsiaTheme="minorHAnsi" w:cs="Times New Roman"/>
          <w:lang w:eastAsia="en-US"/>
        </w:rPr>
      </w:pPr>
      <w:r w:rsidRPr="008E3341">
        <w:rPr>
          <w:rFonts w:cs="Times New Roman"/>
        </w:rPr>
        <w:t>Between 1</w:t>
      </w:r>
      <w:r w:rsidRPr="008E3341">
        <w:rPr>
          <w:rFonts w:cs="Times New Roman"/>
          <w:vertAlign w:val="superscript"/>
        </w:rPr>
        <w:t>st</w:t>
      </w:r>
      <w:r w:rsidRPr="008E3341">
        <w:rPr>
          <w:rFonts w:cs="Times New Roman"/>
        </w:rPr>
        <w:t xml:space="preserve"> Apr 2008 and 28</w:t>
      </w:r>
      <w:r w:rsidRPr="008E3341">
        <w:rPr>
          <w:rFonts w:cs="Times New Roman"/>
          <w:vertAlign w:val="superscript"/>
        </w:rPr>
        <w:t>th</w:t>
      </w:r>
      <w:r w:rsidRPr="008E3341">
        <w:rPr>
          <w:rFonts w:cs="Times New Roman"/>
        </w:rPr>
        <w:t xml:space="preserve"> Feb 2015, there </w:t>
      </w:r>
      <w:r w:rsidR="00483E61">
        <w:rPr>
          <w:rFonts w:cs="Times New Roman"/>
        </w:rPr>
        <w:t>were 42</w:t>
      </w:r>
      <w:r w:rsidRPr="008E3341">
        <w:rPr>
          <w:rFonts w:cs="Times New Roman"/>
        </w:rPr>
        <w:t>,</w:t>
      </w:r>
      <w:r w:rsidR="00483E61">
        <w:rPr>
          <w:rFonts w:cs="Times New Roman"/>
        </w:rPr>
        <w:t>960</w:t>
      </w:r>
      <w:r w:rsidRPr="008E3341">
        <w:rPr>
          <w:rFonts w:cs="Times New Roman"/>
        </w:rPr>
        <w:t xml:space="preserve"> patients who were admitted and received infrarenal AA repairs.</w:t>
      </w:r>
      <w:r>
        <w:rPr>
          <w:rFonts w:cs="Times New Roman"/>
        </w:rPr>
        <w:t xml:space="preserve"> </w:t>
      </w:r>
      <w:r w:rsidR="00483E61">
        <w:rPr>
          <w:rFonts w:cs="Times New Roman"/>
        </w:rPr>
        <w:t>This gave us 42,960</w:t>
      </w:r>
      <w:r>
        <w:rPr>
          <w:rFonts w:cs="Times New Roman"/>
        </w:rPr>
        <w:t xml:space="preserve"> index episodes for costing. </w:t>
      </w:r>
      <w:r w:rsidR="00235394">
        <w:rPr>
          <w:rFonts w:cs="Times New Roman"/>
        </w:rPr>
        <w:t xml:space="preserve"> Through the HGR grouping stage, there were 14 (0.03%) in-patient index episodes and 379 (1.85%) critical care episodes that could not be grouped due to missing data. </w:t>
      </w:r>
      <w:r w:rsidR="0073411D" w:rsidRPr="00235394">
        <w:rPr>
          <w:rFonts w:eastAsiaTheme="minorHAnsi" w:cs="Times New Roman"/>
          <w:lang w:eastAsia="en-US"/>
        </w:rPr>
        <w:t xml:space="preserve"> </w:t>
      </w:r>
      <w:r w:rsidR="00235394">
        <w:rPr>
          <w:rFonts w:eastAsiaTheme="minorHAnsi" w:cs="Times New Roman"/>
          <w:lang w:eastAsia="en-US"/>
        </w:rPr>
        <w:t xml:space="preserve">In the costing stage (matching with unit costs from the reference cost data), 5483 (12.76%) episodes could not be mapped </w:t>
      </w:r>
      <w:r w:rsidR="00235394">
        <w:rPr>
          <w:rFonts w:eastAsiaTheme="minorHAnsi" w:cs="Times New Roman"/>
          <w:lang w:eastAsia="en-US"/>
        </w:rPr>
        <w:lastRenderedPageBreak/>
        <w:t xml:space="preserve">directly to their provider-specific unit costs; however, after imputations based on the assumptions as discussed above, only 42 episodes (0.1%) could not be mapped to their unit costs due to missing data. </w:t>
      </w:r>
    </w:p>
    <w:p w14:paraId="251EF983" w14:textId="77777777" w:rsidR="00B17B51" w:rsidRPr="008E3341" w:rsidRDefault="00B17B51" w:rsidP="00235394">
      <w:pPr>
        <w:spacing w:line="360" w:lineRule="auto"/>
        <w:jc w:val="both"/>
        <w:rPr>
          <w:rFonts w:eastAsiaTheme="minorHAnsi" w:cs="Times New Roman"/>
          <w:lang w:eastAsia="en-US"/>
        </w:rPr>
      </w:pPr>
    </w:p>
    <w:p w14:paraId="644034BA" w14:textId="0622F5D9" w:rsidR="00497223" w:rsidRDefault="00B315AE" w:rsidP="00EC6B02">
      <w:pPr>
        <w:pStyle w:val="Heading2"/>
        <w:numPr>
          <w:ilvl w:val="0"/>
          <w:numId w:val="0"/>
        </w:numPr>
        <w:ind w:left="576" w:hanging="576"/>
        <w:rPr>
          <w:lang w:eastAsia="en-US"/>
        </w:rPr>
      </w:pPr>
      <w:r>
        <w:rPr>
          <w:lang w:eastAsia="en-US"/>
        </w:rPr>
        <w:t>Descriptive summary</w:t>
      </w:r>
      <w:r w:rsidR="005D560D">
        <w:rPr>
          <w:lang w:eastAsia="en-US"/>
        </w:rPr>
        <w:t xml:space="preserve"> </w:t>
      </w:r>
    </w:p>
    <w:p w14:paraId="72A0AC8B" w14:textId="0260E965" w:rsidR="008E0690" w:rsidRDefault="002D6638" w:rsidP="008E0690">
      <w:pPr>
        <w:spacing w:line="360" w:lineRule="auto"/>
        <w:jc w:val="both"/>
        <w:rPr>
          <w:rFonts w:cs="Times New Roman"/>
        </w:rPr>
      </w:pPr>
      <w:r>
        <w:rPr>
          <w:rFonts w:cs="Times New Roman"/>
        </w:rPr>
        <w:t>Table 1 summarises the</w:t>
      </w:r>
      <w:r w:rsidR="00F04130">
        <w:rPr>
          <w:rFonts w:cs="Times New Roman"/>
        </w:rPr>
        <w:t xml:space="preserve"> characteristics of the whole cohort and each clinical group.</w:t>
      </w:r>
      <w:r w:rsidR="00591F97">
        <w:rPr>
          <w:rFonts w:cs="Times New Roman"/>
        </w:rPr>
        <w:t xml:space="preserve"> The pr</w:t>
      </w:r>
      <w:r w:rsidR="00090B99">
        <w:rPr>
          <w:rFonts w:cs="Times New Roman"/>
        </w:rPr>
        <w:t>oportion of ruptured cases was 17.6</w:t>
      </w:r>
      <w:r w:rsidR="00591F97">
        <w:rPr>
          <w:rFonts w:cs="Times New Roman"/>
        </w:rPr>
        <w:t xml:space="preserve">%. </w:t>
      </w:r>
      <w:r w:rsidR="00F04130">
        <w:rPr>
          <w:rFonts w:cs="Times New Roman"/>
        </w:rPr>
        <w:t xml:space="preserve"> </w:t>
      </w:r>
      <w:r w:rsidR="00591F97">
        <w:rPr>
          <w:rFonts w:cs="Times New Roman"/>
        </w:rPr>
        <w:t>Th</w:t>
      </w:r>
      <w:r w:rsidR="00090B99">
        <w:rPr>
          <w:rFonts w:cs="Times New Roman"/>
        </w:rPr>
        <w:t>e mean age of the cohort was 7</w:t>
      </w:r>
      <w:r w:rsidR="00591F97">
        <w:rPr>
          <w:rFonts w:cs="Times New Roman"/>
        </w:rPr>
        <w:t xml:space="preserve">4 years </w:t>
      </w:r>
      <w:r w:rsidR="00090B99">
        <w:rPr>
          <w:rFonts w:cs="Times New Roman"/>
        </w:rPr>
        <w:t>old and 86</w:t>
      </w:r>
      <w:r w:rsidR="00591F97">
        <w:rPr>
          <w:rFonts w:cs="Times New Roman"/>
        </w:rPr>
        <w:t>% was male. Comparing the clinical groups, the elective EVAR group h</w:t>
      </w:r>
      <w:r w:rsidR="008E0690">
        <w:rPr>
          <w:rFonts w:cs="Times New Roman"/>
        </w:rPr>
        <w:t>ad older patients (mean age 76</w:t>
      </w:r>
      <w:r w:rsidR="00591F97">
        <w:rPr>
          <w:rFonts w:cs="Times New Roman"/>
        </w:rPr>
        <w:t xml:space="preserve">) and more men (89%). </w:t>
      </w:r>
      <w:r w:rsidR="008E0690">
        <w:rPr>
          <w:rFonts w:cs="Times New Roman"/>
        </w:rPr>
        <w:t xml:space="preserve">Regarding costs, the mean base cost (excluding excess bed days, unbundled procedures and critical care) of the index episode was £8,587 per patient for the whole cohort. It increased to £8,902 when the costs for excess bed days and unbundled procedures were added and increased to £ 11,562 accounting for all costs including critical care. </w:t>
      </w:r>
      <w:r w:rsidR="004C3C18">
        <w:rPr>
          <w:rFonts w:cs="Times New Roman"/>
        </w:rPr>
        <w:t xml:space="preserve">Comparing costs between the clinical groups, if excluding the costs of critical care, elective EVAR was the most expensive group (£10,061 per patient), then non-ruptured emergency group (£9,402) followed by ruptured group (£8,031) and elective open repair group (£7,502).  When the costs of critical care were included, the most expensive group was the ruptured group (£14,779), then non-ruptured emergency (£12,235) followed by elective EVAR (£10,617) and elective open repair (£10,607). </w:t>
      </w:r>
      <w:r w:rsidR="008E0690">
        <w:rPr>
          <w:rFonts w:cs="Times New Roman"/>
        </w:rPr>
        <w:t xml:space="preserve">   </w:t>
      </w:r>
    </w:p>
    <w:p w14:paraId="38E74729" w14:textId="24DB0F93" w:rsidR="008E0690" w:rsidRDefault="008E0690" w:rsidP="008E0690">
      <w:pPr>
        <w:spacing w:line="360" w:lineRule="auto"/>
        <w:jc w:val="both"/>
        <w:rPr>
          <w:rFonts w:cs="Times New Roman"/>
        </w:rPr>
      </w:pPr>
    </w:p>
    <w:p w14:paraId="02F151EC" w14:textId="77777777" w:rsidR="008E0690" w:rsidRPr="008E0690" w:rsidRDefault="008E0690" w:rsidP="008E0690">
      <w:pPr>
        <w:spacing w:line="360" w:lineRule="auto"/>
        <w:jc w:val="both"/>
        <w:rPr>
          <w:rFonts w:cs="Times New Roman"/>
        </w:rPr>
        <w:sectPr w:rsidR="008E0690" w:rsidRPr="008E0690" w:rsidSect="000B0160">
          <w:footerReference w:type="default" r:id="rId8"/>
          <w:pgSz w:w="11906" w:h="16838"/>
          <w:pgMar w:top="1440" w:right="1440" w:bottom="1440" w:left="1440" w:header="709" w:footer="709" w:gutter="0"/>
          <w:cols w:space="708"/>
          <w:docGrid w:linePitch="360"/>
        </w:sectPr>
      </w:pPr>
    </w:p>
    <w:p w14:paraId="796ACCFA" w14:textId="753A430E" w:rsidR="002D6638" w:rsidRPr="00121B55" w:rsidRDefault="002D6638" w:rsidP="002D6638">
      <w:pPr>
        <w:pStyle w:val="Caption"/>
        <w:rPr>
          <w:rFonts w:cs="Times New Roman"/>
          <w:b/>
          <w:sz w:val="36"/>
        </w:rPr>
      </w:pPr>
      <w:r w:rsidRPr="00121B55">
        <w:rPr>
          <w:rFonts w:cs="Times New Roman"/>
        </w:rPr>
        <w:lastRenderedPageBreak/>
        <w:t xml:space="preserve">Table </w:t>
      </w:r>
      <w:r w:rsidRPr="00121B55">
        <w:rPr>
          <w:rFonts w:cs="Times New Roman"/>
          <w:b/>
        </w:rPr>
        <w:fldChar w:fldCharType="begin"/>
      </w:r>
      <w:r w:rsidRPr="00121B55">
        <w:rPr>
          <w:rFonts w:cs="Times New Roman"/>
        </w:rPr>
        <w:instrText xml:space="preserve"> SEQ Table \* ARABIC </w:instrText>
      </w:r>
      <w:r w:rsidRPr="00121B55">
        <w:rPr>
          <w:rFonts w:cs="Times New Roman"/>
          <w:b/>
        </w:rPr>
        <w:fldChar w:fldCharType="separate"/>
      </w:r>
      <w:r w:rsidRPr="00121B55">
        <w:rPr>
          <w:rFonts w:cs="Times New Roman"/>
          <w:noProof/>
        </w:rPr>
        <w:t>1</w:t>
      </w:r>
      <w:r w:rsidRPr="00121B55">
        <w:rPr>
          <w:rFonts w:cs="Times New Roman"/>
          <w:b/>
        </w:rPr>
        <w:fldChar w:fldCharType="end"/>
      </w:r>
      <w:r w:rsidR="00D10BD4">
        <w:rPr>
          <w:rFonts w:cs="Times New Roman"/>
        </w:rPr>
        <w:t xml:space="preserve">: </w:t>
      </w:r>
      <w:r w:rsidR="00AC648D">
        <w:rPr>
          <w:rFonts w:cs="Times New Roman"/>
        </w:rPr>
        <w:t>Cohort</w:t>
      </w:r>
      <w:r w:rsidR="001A7AD3">
        <w:rPr>
          <w:rFonts w:cs="Times New Roman"/>
        </w:rPr>
        <w:t xml:space="preserve"> s</w:t>
      </w:r>
      <w:r w:rsidR="00D10BD4">
        <w:rPr>
          <w:rFonts w:cs="Times New Roman"/>
        </w:rPr>
        <w:t xml:space="preserve">ummary  </w:t>
      </w:r>
    </w:p>
    <w:tbl>
      <w:tblPr>
        <w:tblStyle w:val="TableGrid"/>
        <w:tblW w:w="13948" w:type="dxa"/>
        <w:tblLook w:val="04A0" w:firstRow="1" w:lastRow="0" w:firstColumn="1" w:lastColumn="0" w:noHBand="0" w:noVBand="1"/>
      </w:tblPr>
      <w:tblGrid>
        <w:gridCol w:w="1413"/>
        <w:gridCol w:w="3165"/>
        <w:gridCol w:w="1425"/>
        <w:gridCol w:w="1820"/>
        <w:gridCol w:w="2078"/>
        <w:gridCol w:w="2084"/>
        <w:gridCol w:w="1963"/>
      </w:tblGrid>
      <w:tr w:rsidR="00074DEE" w14:paraId="1F6620C2" w14:textId="36F03B89" w:rsidTr="00074DEE">
        <w:trPr>
          <w:trHeight w:val="487"/>
        </w:trPr>
        <w:tc>
          <w:tcPr>
            <w:tcW w:w="1413" w:type="dxa"/>
          </w:tcPr>
          <w:p w14:paraId="11468D55" w14:textId="77777777" w:rsidR="00074DEE" w:rsidRPr="00AC648D" w:rsidRDefault="00074DEE" w:rsidP="00AC648D">
            <w:pPr>
              <w:spacing w:line="360" w:lineRule="auto"/>
              <w:rPr>
                <w:sz w:val="20"/>
                <w:szCs w:val="20"/>
              </w:rPr>
            </w:pPr>
          </w:p>
        </w:tc>
        <w:tc>
          <w:tcPr>
            <w:tcW w:w="3165" w:type="dxa"/>
          </w:tcPr>
          <w:p w14:paraId="35CD8B50" w14:textId="77777777" w:rsidR="00074DEE" w:rsidRPr="00AC648D" w:rsidRDefault="00074DEE" w:rsidP="00AC648D">
            <w:pPr>
              <w:spacing w:line="360" w:lineRule="auto"/>
              <w:rPr>
                <w:sz w:val="20"/>
                <w:szCs w:val="20"/>
              </w:rPr>
            </w:pPr>
          </w:p>
        </w:tc>
        <w:tc>
          <w:tcPr>
            <w:tcW w:w="1425" w:type="dxa"/>
          </w:tcPr>
          <w:p w14:paraId="38FB6533" w14:textId="14A26A1D" w:rsidR="00074DEE" w:rsidRPr="00AC648D" w:rsidRDefault="00074DEE" w:rsidP="00AC648D">
            <w:pPr>
              <w:spacing w:line="360" w:lineRule="auto"/>
              <w:rPr>
                <w:sz w:val="20"/>
                <w:szCs w:val="20"/>
              </w:rPr>
            </w:pPr>
            <w:r w:rsidRPr="00AC648D">
              <w:rPr>
                <w:sz w:val="20"/>
                <w:szCs w:val="20"/>
              </w:rPr>
              <w:t>All cohort</w:t>
            </w:r>
          </w:p>
        </w:tc>
        <w:tc>
          <w:tcPr>
            <w:tcW w:w="1820" w:type="dxa"/>
          </w:tcPr>
          <w:p w14:paraId="0F1FC4C5" w14:textId="51A200B2" w:rsidR="00074DEE" w:rsidRPr="00AC648D" w:rsidRDefault="00074DEE" w:rsidP="00AC648D">
            <w:pPr>
              <w:spacing w:line="360" w:lineRule="auto"/>
              <w:rPr>
                <w:sz w:val="20"/>
                <w:szCs w:val="20"/>
              </w:rPr>
            </w:pPr>
            <w:r w:rsidRPr="00AC648D">
              <w:rPr>
                <w:sz w:val="20"/>
                <w:szCs w:val="20"/>
              </w:rPr>
              <w:t>Ruptured</w:t>
            </w:r>
          </w:p>
        </w:tc>
        <w:tc>
          <w:tcPr>
            <w:tcW w:w="2078" w:type="dxa"/>
          </w:tcPr>
          <w:p w14:paraId="345D6452" w14:textId="3A700732" w:rsidR="00074DEE" w:rsidRPr="00AC648D" w:rsidRDefault="00074DEE" w:rsidP="00AC648D">
            <w:pPr>
              <w:spacing w:line="360" w:lineRule="auto"/>
              <w:rPr>
                <w:sz w:val="20"/>
                <w:szCs w:val="20"/>
              </w:rPr>
            </w:pPr>
            <w:r w:rsidRPr="00AC648D">
              <w:rPr>
                <w:sz w:val="20"/>
                <w:szCs w:val="20"/>
              </w:rPr>
              <w:t>Non-</w:t>
            </w:r>
            <w:proofErr w:type="spellStart"/>
            <w:r w:rsidRPr="00AC648D">
              <w:rPr>
                <w:sz w:val="20"/>
                <w:szCs w:val="20"/>
              </w:rPr>
              <w:t>rup</w:t>
            </w:r>
            <w:proofErr w:type="spellEnd"/>
            <w:r w:rsidRPr="00AC648D">
              <w:rPr>
                <w:sz w:val="20"/>
                <w:szCs w:val="20"/>
              </w:rPr>
              <w:t xml:space="preserve"> emergency</w:t>
            </w:r>
          </w:p>
        </w:tc>
        <w:tc>
          <w:tcPr>
            <w:tcW w:w="2084" w:type="dxa"/>
          </w:tcPr>
          <w:p w14:paraId="7F2D5B09" w14:textId="0B290538" w:rsidR="00074DEE" w:rsidRPr="00AC648D" w:rsidRDefault="00074DEE" w:rsidP="00AC648D">
            <w:pPr>
              <w:spacing w:line="360" w:lineRule="auto"/>
              <w:rPr>
                <w:sz w:val="20"/>
                <w:szCs w:val="20"/>
              </w:rPr>
            </w:pPr>
            <w:r w:rsidRPr="00AC648D">
              <w:rPr>
                <w:sz w:val="20"/>
                <w:szCs w:val="20"/>
              </w:rPr>
              <w:t>Elective Open Repair</w:t>
            </w:r>
          </w:p>
        </w:tc>
        <w:tc>
          <w:tcPr>
            <w:tcW w:w="1963" w:type="dxa"/>
          </w:tcPr>
          <w:p w14:paraId="3928D10F" w14:textId="4395D230" w:rsidR="00074DEE" w:rsidRPr="00AC648D" w:rsidRDefault="00074DEE" w:rsidP="00AC648D">
            <w:pPr>
              <w:spacing w:line="360" w:lineRule="auto"/>
              <w:rPr>
                <w:sz w:val="20"/>
                <w:szCs w:val="20"/>
              </w:rPr>
            </w:pPr>
            <w:r w:rsidRPr="00AC648D">
              <w:rPr>
                <w:sz w:val="20"/>
                <w:szCs w:val="20"/>
              </w:rPr>
              <w:t>Elective EVAR</w:t>
            </w:r>
          </w:p>
        </w:tc>
      </w:tr>
      <w:tr w:rsidR="00074DEE" w14:paraId="63BDE045" w14:textId="6DE90191" w:rsidTr="009864A1">
        <w:trPr>
          <w:trHeight w:val="487"/>
        </w:trPr>
        <w:tc>
          <w:tcPr>
            <w:tcW w:w="4578" w:type="dxa"/>
            <w:gridSpan w:val="2"/>
          </w:tcPr>
          <w:p w14:paraId="5767602A" w14:textId="6FD8DD93" w:rsidR="00074DEE" w:rsidRDefault="00074DEE" w:rsidP="00AC648D">
            <w:pPr>
              <w:spacing w:line="360" w:lineRule="auto"/>
              <w:rPr>
                <w:sz w:val="20"/>
                <w:szCs w:val="20"/>
              </w:rPr>
            </w:pPr>
            <w:r w:rsidRPr="00AC648D">
              <w:rPr>
                <w:sz w:val="20"/>
                <w:szCs w:val="20"/>
              </w:rPr>
              <w:t>Cases</w:t>
            </w:r>
          </w:p>
        </w:tc>
        <w:tc>
          <w:tcPr>
            <w:tcW w:w="1425" w:type="dxa"/>
          </w:tcPr>
          <w:p w14:paraId="3E0BBF7C" w14:textId="29665F6B" w:rsidR="00074DEE" w:rsidRPr="00AC648D" w:rsidRDefault="00074DEE" w:rsidP="00AC648D">
            <w:pPr>
              <w:spacing w:line="360" w:lineRule="auto"/>
              <w:rPr>
                <w:sz w:val="20"/>
                <w:szCs w:val="20"/>
              </w:rPr>
            </w:pPr>
            <w:r>
              <w:rPr>
                <w:sz w:val="20"/>
                <w:szCs w:val="20"/>
              </w:rPr>
              <w:t>42960</w:t>
            </w:r>
          </w:p>
        </w:tc>
        <w:tc>
          <w:tcPr>
            <w:tcW w:w="1820" w:type="dxa"/>
          </w:tcPr>
          <w:p w14:paraId="4D6ED172" w14:textId="57DFBCAC" w:rsidR="00074DEE" w:rsidRPr="00AC648D" w:rsidRDefault="009864A1" w:rsidP="00AC648D">
            <w:pPr>
              <w:spacing w:line="360" w:lineRule="auto"/>
              <w:rPr>
                <w:sz w:val="20"/>
                <w:szCs w:val="20"/>
              </w:rPr>
            </w:pPr>
            <w:r>
              <w:rPr>
                <w:sz w:val="20"/>
                <w:szCs w:val="20"/>
              </w:rPr>
              <w:t>7737</w:t>
            </w:r>
            <w:r w:rsidR="00074DEE" w:rsidRPr="00AC648D">
              <w:rPr>
                <w:sz w:val="20"/>
                <w:szCs w:val="20"/>
              </w:rPr>
              <w:t xml:space="preserve"> (</w:t>
            </w:r>
            <w:r>
              <w:rPr>
                <w:sz w:val="20"/>
                <w:szCs w:val="20"/>
              </w:rPr>
              <w:t>18.01</w:t>
            </w:r>
            <w:r w:rsidR="00074DEE" w:rsidRPr="00AC648D">
              <w:rPr>
                <w:sz w:val="20"/>
                <w:szCs w:val="20"/>
              </w:rPr>
              <w:t>%)</w:t>
            </w:r>
          </w:p>
        </w:tc>
        <w:tc>
          <w:tcPr>
            <w:tcW w:w="2078" w:type="dxa"/>
          </w:tcPr>
          <w:p w14:paraId="594CFC6B" w14:textId="0FCD506E" w:rsidR="00074DEE" w:rsidRPr="00AC648D" w:rsidRDefault="009864A1" w:rsidP="00AC648D">
            <w:pPr>
              <w:spacing w:line="360" w:lineRule="auto"/>
              <w:rPr>
                <w:sz w:val="20"/>
                <w:szCs w:val="20"/>
              </w:rPr>
            </w:pPr>
            <w:r>
              <w:rPr>
                <w:sz w:val="20"/>
                <w:szCs w:val="20"/>
              </w:rPr>
              <w:t>5233 (12.18</w:t>
            </w:r>
            <w:r w:rsidR="00074DEE" w:rsidRPr="00AC648D">
              <w:rPr>
                <w:sz w:val="20"/>
                <w:szCs w:val="20"/>
              </w:rPr>
              <w:t>%)</w:t>
            </w:r>
          </w:p>
        </w:tc>
        <w:tc>
          <w:tcPr>
            <w:tcW w:w="2084" w:type="dxa"/>
          </w:tcPr>
          <w:p w14:paraId="4C50FBF6" w14:textId="5485751A" w:rsidR="00074DEE" w:rsidRPr="00AC648D" w:rsidRDefault="009864A1" w:rsidP="00AC648D">
            <w:pPr>
              <w:spacing w:line="360" w:lineRule="auto"/>
              <w:rPr>
                <w:sz w:val="20"/>
                <w:szCs w:val="20"/>
              </w:rPr>
            </w:pPr>
            <w:r>
              <w:rPr>
                <w:sz w:val="20"/>
                <w:szCs w:val="20"/>
              </w:rPr>
              <w:t>11964 (27.85</w:t>
            </w:r>
            <w:r w:rsidR="00074DEE" w:rsidRPr="00AC648D">
              <w:rPr>
                <w:sz w:val="20"/>
                <w:szCs w:val="20"/>
              </w:rPr>
              <w:t>%)</w:t>
            </w:r>
          </w:p>
        </w:tc>
        <w:tc>
          <w:tcPr>
            <w:tcW w:w="1963" w:type="dxa"/>
          </w:tcPr>
          <w:p w14:paraId="1EEDFEB4" w14:textId="31C1C58C" w:rsidR="00074DEE" w:rsidRPr="00AC648D" w:rsidRDefault="009864A1" w:rsidP="00AC648D">
            <w:pPr>
              <w:spacing w:line="360" w:lineRule="auto"/>
              <w:rPr>
                <w:sz w:val="20"/>
                <w:szCs w:val="20"/>
              </w:rPr>
            </w:pPr>
            <w:r>
              <w:rPr>
                <w:sz w:val="20"/>
                <w:szCs w:val="20"/>
              </w:rPr>
              <w:t>18026 (41.96</w:t>
            </w:r>
            <w:r w:rsidR="00074DEE" w:rsidRPr="00AC648D">
              <w:rPr>
                <w:sz w:val="20"/>
                <w:szCs w:val="20"/>
              </w:rPr>
              <w:t>%)</w:t>
            </w:r>
          </w:p>
        </w:tc>
      </w:tr>
      <w:tr w:rsidR="00074DEE" w14:paraId="32362632" w14:textId="2B510FF1" w:rsidTr="009864A1">
        <w:trPr>
          <w:trHeight w:val="487"/>
        </w:trPr>
        <w:tc>
          <w:tcPr>
            <w:tcW w:w="4578" w:type="dxa"/>
            <w:gridSpan w:val="2"/>
          </w:tcPr>
          <w:p w14:paraId="5C8A2ADD" w14:textId="2421317E" w:rsidR="00074DEE" w:rsidRDefault="00074DEE" w:rsidP="00AC648D">
            <w:pPr>
              <w:spacing w:line="360" w:lineRule="auto"/>
              <w:rPr>
                <w:sz w:val="20"/>
                <w:szCs w:val="20"/>
              </w:rPr>
            </w:pPr>
            <w:r>
              <w:rPr>
                <w:sz w:val="20"/>
                <w:szCs w:val="20"/>
              </w:rPr>
              <w:t xml:space="preserve">Age </w:t>
            </w:r>
            <w:r w:rsidRPr="00AC648D">
              <w:rPr>
                <w:sz w:val="20"/>
                <w:szCs w:val="20"/>
              </w:rPr>
              <w:t xml:space="preserve"> </w:t>
            </w:r>
            <w:r>
              <w:rPr>
                <w:sz w:val="20"/>
                <w:szCs w:val="20"/>
              </w:rPr>
              <w:t>(</w:t>
            </w:r>
            <w:r w:rsidRPr="00AC648D">
              <w:rPr>
                <w:sz w:val="20"/>
                <w:szCs w:val="20"/>
              </w:rPr>
              <w:t>mean</w:t>
            </w:r>
            <w:r>
              <w:rPr>
                <w:sz w:val="20"/>
                <w:szCs w:val="20"/>
              </w:rPr>
              <w:t>, median</w:t>
            </w:r>
            <w:r w:rsidRPr="00AC648D">
              <w:rPr>
                <w:sz w:val="20"/>
                <w:szCs w:val="20"/>
              </w:rPr>
              <w:t xml:space="preserve">) </w:t>
            </w:r>
          </w:p>
        </w:tc>
        <w:tc>
          <w:tcPr>
            <w:tcW w:w="1425" w:type="dxa"/>
          </w:tcPr>
          <w:p w14:paraId="5C4084DE" w14:textId="509DF792" w:rsidR="00074DEE" w:rsidRPr="00AC648D" w:rsidRDefault="009864A1" w:rsidP="00AC648D">
            <w:pPr>
              <w:spacing w:line="360" w:lineRule="auto"/>
              <w:rPr>
                <w:sz w:val="20"/>
                <w:szCs w:val="20"/>
              </w:rPr>
            </w:pPr>
            <w:r>
              <w:rPr>
                <w:sz w:val="20"/>
                <w:szCs w:val="20"/>
              </w:rPr>
              <w:t>74</w:t>
            </w:r>
            <w:r w:rsidR="00074DEE">
              <w:rPr>
                <w:sz w:val="20"/>
                <w:szCs w:val="20"/>
              </w:rPr>
              <w:t xml:space="preserve">; 75 </w:t>
            </w:r>
          </w:p>
        </w:tc>
        <w:tc>
          <w:tcPr>
            <w:tcW w:w="1820" w:type="dxa"/>
          </w:tcPr>
          <w:p w14:paraId="6FA31399" w14:textId="4A9C1F2C" w:rsidR="00074DEE" w:rsidRPr="00AC648D" w:rsidRDefault="009864A1" w:rsidP="00AC648D">
            <w:pPr>
              <w:spacing w:line="360" w:lineRule="auto"/>
              <w:rPr>
                <w:sz w:val="20"/>
                <w:szCs w:val="20"/>
              </w:rPr>
            </w:pPr>
            <w:r>
              <w:rPr>
                <w:sz w:val="20"/>
                <w:szCs w:val="20"/>
              </w:rPr>
              <w:t xml:space="preserve">75; </w:t>
            </w:r>
            <w:r w:rsidRPr="009864A1">
              <w:rPr>
                <w:sz w:val="20"/>
                <w:szCs w:val="20"/>
              </w:rPr>
              <w:t>76</w:t>
            </w:r>
          </w:p>
        </w:tc>
        <w:tc>
          <w:tcPr>
            <w:tcW w:w="2078" w:type="dxa"/>
          </w:tcPr>
          <w:p w14:paraId="398161D2" w14:textId="56E34780" w:rsidR="00074DEE" w:rsidRPr="00AC648D" w:rsidRDefault="009864A1" w:rsidP="00AC648D">
            <w:pPr>
              <w:spacing w:line="360" w:lineRule="auto"/>
              <w:rPr>
                <w:sz w:val="20"/>
                <w:szCs w:val="20"/>
              </w:rPr>
            </w:pPr>
            <w:r>
              <w:rPr>
                <w:sz w:val="20"/>
                <w:szCs w:val="20"/>
              </w:rPr>
              <w:t xml:space="preserve">73; </w:t>
            </w:r>
            <w:r w:rsidRPr="009864A1">
              <w:rPr>
                <w:sz w:val="20"/>
                <w:szCs w:val="20"/>
              </w:rPr>
              <w:t>74</w:t>
            </w:r>
          </w:p>
        </w:tc>
        <w:tc>
          <w:tcPr>
            <w:tcW w:w="2084" w:type="dxa"/>
          </w:tcPr>
          <w:p w14:paraId="59689773" w14:textId="011E84DC" w:rsidR="00074DEE" w:rsidRPr="00AC648D" w:rsidRDefault="00FB7892" w:rsidP="00AC648D">
            <w:pPr>
              <w:spacing w:line="360" w:lineRule="auto"/>
              <w:rPr>
                <w:sz w:val="20"/>
                <w:szCs w:val="20"/>
              </w:rPr>
            </w:pPr>
            <w:r>
              <w:rPr>
                <w:sz w:val="20"/>
                <w:szCs w:val="20"/>
              </w:rPr>
              <w:t xml:space="preserve">71; </w:t>
            </w:r>
            <w:r w:rsidRPr="00FB7892">
              <w:rPr>
                <w:sz w:val="20"/>
                <w:szCs w:val="20"/>
              </w:rPr>
              <w:t>72</w:t>
            </w:r>
          </w:p>
        </w:tc>
        <w:tc>
          <w:tcPr>
            <w:tcW w:w="1963" w:type="dxa"/>
          </w:tcPr>
          <w:p w14:paraId="5FDD4E24" w14:textId="3E415F70" w:rsidR="00074DEE" w:rsidRPr="00AC648D" w:rsidRDefault="00FB7892" w:rsidP="00AC648D">
            <w:pPr>
              <w:spacing w:line="360" w:lineRule="auto"/>
              <w:rPr>
                <w:sz w:val="20"/>
                <w:szCs w:val="20"/>
              </w:rPr>
            </w:pPr>
            <w:r>
              <w:rPr>
                <w:sz w:val="20"/>
                <w:szCs w:val="20"/>
              </w:rPr>
              <w:t xml:space="preserve">76; </w:t>
            </w:r>
            <w:r w:rsidRPr="00FB7892">
              <w:rPr>
                <w:sz w:val="20"/>
                <w:szCs w:val="20"/>
              </w:rPr>
              <w:t>76</w:t>
            </w:r>
          </w:p>
        </w:tc>
      </w:tr>
      <w:tr w:rsidR="00074DEE" w14:paraId="3E039B1F" w14:textId="480BA0C1" w:rsidTr="009864A1">
        <w:trPr>
          <w:trHeight w:val="487"/>
        </w:trPr>
        <w:tc>
          <w:tcPr>
            <w:tcW w:w="4578" w:type="dxa"/>
            <w:gridSpan w:val="2"/>
          </w:tcPr>
          <w:p w14:paraId="4CEC50FA" w14:textId="28D61DC3" w:rsidR="00074DEE" w:rsidRDefault="00074DEE" w:rsidP="00AC648D">
            <w:pPr>
              <w:spacing w:line="360" w:lineRule="auto"/>
              <w:rPr>
                <w:sz w:val="20"/>
                <w:szCs w:val="20"/>
              </w:rPr>
            </w:pPr>
            <w:r w:rsidRPr="00AC648D">
              <w:rPr>
                <w:sz w:val="20"/>
                <w:szCs w:val="20"/>
              </w:rPr>
              <w:t>Male</w:t>
            </w:r>
          </w:p>
        </w:tc>
        <w:tc>
          <w:tcPr>
            <w:tcW w:w="1425" w:type="dxa"/>
          </w:tcPr>
          <w:p w14:paraId="7546F3CB" w14:textId="3B9B3927" w:rsidR="00074DEE" w:rsidRPr="00AC648D" w:rsidRDefault="00074DEE" w:rsidP="00AC648D">
            <w:pPr>
              <w:spacing w:line="360" w:lineRule="auto"/>
              <w:rPr>
                <w:sz w:val="20"/>
                <w:szCs w:val="20"/>
              </w:rPr>
            </w:pPr>
            <w:r>
              <w:rPr>
                <w:sz w:val="20"/>
                <w:szCs w:val="20"/>
              </w:rPr>
              <w:t>37024</w:t>
            </w:r>
          </w:p>
        </w:tc>
        <w:tc>
          <w:tcPr>
            <w:tcW w:w="1820" w:type="dxa"/>
          </w:tcPr>
          <w:p w14:paraId="00C56AD4" w14:textId="0F0F68F8" w:rsidR="00074DEE" w:rsidRPr="00AC648D" w:rsidRDefault="009864A1" w:rsidP="009864A1">
            <w:pPr>
              <w:spacing w:line="360" w:lineRule="auto"/>
              <w:rPr>
                <w:sz w:val="20"/>
                <w:szCs w:val="20"/>
              </w:rPr>
            </w:pPr>
            <w:r>
              <w:rPr>
                <w:sz w:val="20"/>
                <w:szCs w:val="20"/>
              </w:rPr>
              <w:t>6405 (82.8%)</w:t>
            </w:r>
          </w:p>
        </w:tc>
        <w:tc>
          <w:tcPr>
            <w:tcW w:w="2078" w:type="dxa"/>
          </w:tcPr>
          <w:p w14:paraId="157BD9D7" w14:textId="7B293567" w:rsidR="00074DEE" w:rsidRPr="00AC648D" w:rsidRDefault="009864A1" w:rsidP="00AC648D">
            <w:pPr>
              <w:spacing w:line="360" w:lineRule="auto"/>
              <w:rPr>
                <w:sz w:val="20"/>
                <w:szCs w:val="20"/>
              </w:rPr>
            </w:pPr>
            <w:r>
              <w:rPr>
                <w:sz w:val="20"/>
                <w:szCs w:val="20"/>
              </w:rPr>
              <w:t>4320 (82.6</w:t>
            </w:r>
            <w:r w:rsidRPr="009864A1">
              <w:rPr>
                <w:sz w:val="20"/>
                <w:szCs w:val="20"/>
              </w:rPr>
              <w:t>%</w:t>
            </w:r>
            <w:r>
              <w:rPr>
                <w:sz w:val="20"/>
                <w:szCs w:val="20"/>
              </w:rPr>
              <w:t>)</w:t>
            </w:r>
          </w:p>
        </w:tc>
        <w:tc>
          <w:tcPr>
            <w:tcW w:w="2084" w:type="dxa"/>
          </w:tcPr>
          <w:p w14:paraId="7EC9DA94" w14:textId="685457E3" w:rsidR="00074DEE" w:rsidRPr="00AC648D" w:rsidRDefault="00FB7892" w:rsidP="00AC648D">
            <w:pPr>
              <w:spacing w:line="360" w:lineRule="auto"/>
              <w:rPr>
                <w:sz w:val="20"/>
                <w:szCs w:val="20"/>
              </w:rPr>
            </w:pPr>
            <w:r>
              <w:rPr>
                <w:sz w:val="20"/>
                <w:szCs w:val="20"/>
              </w:rPr>
              <w:t>10282 (</w:t>
            </w:r>
            <w:r w:rsidRPr="00FB7892">
              <w:rPr>
                <w:sz w:val="20"/>
                <w:szCs w:val="20"/>
              </w:rPr>
              <w:t>85.9%</w:t>
            </w:r>
            <w:r>
              <w:rPr>
                <w:sz w:val="20"/>
                <w:szCs w:val="20"/>
              </w:rPr>
              <w:t>)</w:t>
            </w:r>
          </w:p>
        </w:tc>
        <w:tc>
          <w:tcPr>
            <w:tcW w:w="1963" w:type="dxa"/>
          </w:tcPr>
          <w:p w14:paraId="0122F89D" w14:textId="1C309974" w:rsidR="00074DEE" w:rsidRPr="00AC648D" w:rsidRDefault="00FB7892" w:rsidP="00AC648D">
            <w:pPr>
              <w:spacing w:line="360" w:lineRule="auto"/>
              <w:rPr>
                <w:sz w:val="20"/>
                <w:szCs w:val="20"/>
              </w:rPr>
            </w:pPr>
            <w:r>
              <w:rPr>
                <w:sz w:val="20"/>
                <w:szCs w:val="20"/>
              </w:rPr>
              <w:t>16017 (</w:t>
            </w:r>
            <w:r w:rsidRPr="00FB7892">
              <w:rPr>
                <w:sz w:val="20"/>
                <w:szCs w:val="20"/>
              </w:rPr>
              <w:t>88.9%</w:t>
            </w:r>
            <w:r>
              <w:rPr>
                <w:sz w:val="20"/>
                <w:szCs w:val="20"/>
              </w:rPr>
              <w:t>)</w:t>
            </w:r>
          </w:p>
        </w:tc>
      </w:tr>
      <w:tr w:rsidR="00074DEE" w14:paraId="365F9607" w14:textId="4CD86751" w:rsidTr="009864A1">
        <w:trPr>
          <w:trHeight w:val="487"/>
        </w:trPr>
        <w:tc>
          <w:tcPr>
            <w:tcW w:w="4578" w:type="dxa"/>
            <w:gridSpan w:val="2"/>
          </w:tcPr>
          <w:p w14:paraId="031E4B98" w14:textId="7757A6D6" w:rsidR="00074DEE" w:rsidRDefault="00074DEE" w:rsidP="00AC648D">
            <w:pPr>
              <w:spacing w:line="360" w:lineRule="auto"/>
              <w:rPr>
                <w:sz w:val="20"/>
                <w:szCs w:val="20"/>
              </w:rPr>
            </w:pPr>
            <w:r w:rsidRPr="00AC648D">
              <w:rPr>
                <w:sz w:val="20"/>
                <w:szCs w:val="20"/>
              </w:rPr>
              <w:t xml:space="preserve">EVAR cases </w:t>
            </w:r>
          </w:p>
        </w:tc>
        <w:tc>
          <w:tcPr>
            <w:tcW w:w="1425" w:type="dxa"/>
          </w:tcPr>
          <w:p w14:paraId="3732E3F2" w14:textId="20EB6F6C" w:rsidR="00074DEE" w:rsidRPr="00AC648D" w:rsidRDefault="00074DEE" w:rsidP="00AC648D">
            <w:pPr>
              <w:spacing w:line="360" w:lineRule="auto"/>
              <w:rPr>
                <w:sz w:val="20"/>
                <w:szCs w:val="20"/>
              </w:rPr>
            </w:pPr>
            <w:r>
              <w:rPr>
                <w:sz w:val="20"/>
                <w:szCs w:val="20"/>
              </w:rPr>
              <w:t>21525</w:t>
            </w:r>
          </w:p>
        </w:tc>
        <w:tc>
          <w:tcPr>
            <w:tcW w:w="1820" w:type="dxa"/>
          </w:tcPr>
          <w:p w14:paraId="1E9A63B7" w14:textId="700A7769" w:rsidR="00074DEE" w:rsidRPr="00AC648D" w:rsidRDefault="009864A1" w:rsidP="00AC648D">
            <w:pPr>
              <w:spacing w:line="360" w:lineRule="auto"/>
              <w:rPr>
                <w:sz w:val="20"/>
                <w:szCs w:val="20"/>
              </w:rPr>
            </w:pPr>
            <w:r>
              <w:rPr>
                <w:sz w:val="20"/>
                <w:szCs w:val="20"/>
              </w:rPr>
              <w:t>1362 (17.6</w:t>
            </w:r>
            <w:r w:rsidRPr="009864A1">
              <w:rPr>
                <w:sz w:val="20"/>
                <w:szCs w:val="20"/>
              </w:rPr>
              <w:t>%</w:t>
            </w:r>
            <w:r>
              <w:rPr>
                <w:sz w:val="20"/>
                <w:szCs w:val="20"/>
              </w:rPr>
              <w:t>)</w:t>
            </w:r>
          </w:p>
        </w:tc>
        <w:tc>
          <w:tcPr>
            <w:tcW w:w="2078" w:type="dxa"/>
          </w:tcPr>
          <w:p w14:paraId="79ED9C00" w14:textId="6BE6B8E2" w:rsidR="00074DEE" w:rsidRPr="00AC648D" w:rsidRDefault="009864A1" w:rsidP="00AC648D">
            <w:pPr>
              <w:spacing w:line="360" w:lineRule="auto"/>
              <w:rPr>
                <w:sz w:val="20"/>
                <w:szCs w:val="20"/>
              </w:rPr>
            </w:pPr>
            <w:r>
              <w:rPr>
                <w:sz w:val="20"/>
                <w:szCs w:val="20"/>
              </w:rPr>
              <w:t>2137 (</w:t>
            </w:r>
            <w:r w:rsidRPr="009864A1">
              <w:rPr>
                <w:sz w:val="20"/>
                <w:szCs w:val="20"/>
              </w:rPr>
              <w:t>40.8%</w:t>
            </w:r>
            <w:r>
              <w:rPr>
                <w:sz w:val="20"/>
                <w:szCs w:val="20"/>
              </w:rPr>
              <w:t>)</w:t>
            </w:r>
          </w:p>
        </w:tc>
        <w:tc>
          <w:tcPr>
            <w:tcW w:w="2084" w:type="dxa"/>
          </w:tcPr>
          <w:p w14:paraId="5CD37C9A" w14:textId="50F62930" w:rsidR="00074DEE" w:rsidRPr="00AC648D" w:rsidRDefault="00FB7892" w:rsidP="00AC648D">
            <w:pPr>
              <w:spacing w:line="360" w:lineRule="auto"/>
              <w:rPr>
                <w:sz w:val="20"/>
                <w:szCs w:val="20"/>
              </w:rPr>
            </w:pPr>
            <w:r>
              <w:rPr>
                <w:sz w:val="20"/>
                <w:szCs w:val="20"/>
              </w:rPr>
              <w:t>NA</w:t>
            </w:r>
          </w:p>
        </w:tc>
        <w:tc>
          <w:tcPr>
            <w:tcW w:w="1963" w:type="dxa"/>
          </w:tcPr>
          <w:p w14:paraId="25007DFF" w14:textId="0799117D" w:rsidR="00074DEE" w:rsidRPr="00AC648D" w:rsidRDefault="00FB7892" w:rsidP="00AC648D">
            <w:pPr>
              <w:spacing w:line="360" w:lineRule="auto"/>
              <w:rPr>
                <w:sz w:val="20"/>
                <w:szCs w:val="20"/>
              </w:rPr>
            </w:pPr>
            <w:r>
              <w:rPr>
                <w:sz w:val="20"/>
                <w:szCs w:val="20"/>
              </w:rPr>
              <w:t>NA</w:t>
            </w:r>
          </w:p>
        </w:tc>
      </w:tr>
      <w:tr w:rsidR="00074DEE" w14:paraId="2547F2D9" w14:textId="115E36D4" w:rsidTr="009864A1">
        <w:trPr>
          <w:trHeight w:val="487"/>
        </w:trPr>
        <w:tc>
          <w:tcPr>
            <w:tcW w:w="4578" w:type="dxa"/>
            <w:gridSpan w:val="2"/>
          </w:tcPr>
          <w:p w14:paraId="7F4EDED8" w14:textId="3328F82E" w:rsidR="00074DEE" w:rsidRDefault="00074DEE" w:rsidP="00AC648D">
            <w:pPr>
              <w:spacing w:line="360" w:lineRule="auto"/>
              <w:rPr>
                <w:sz w:val="20"/>
                <w:szCs w:val="20"/>
              </w:rPr>
            </w:pPr>
            <w:r>
              <w:rPr>
                <w:sz w:val="20"/>
                <w:szCs w:val="20"/>
              </w:rPr>
              <w:t xml:space="preserve">LOS </w:t>
            </w:r>
            <w:r w:rsidRPr="00AC648D">
              <w:rPr>
                <w:sz w:val="20"/>
                <w:szCs w:val="20"/>
              </w:rPr>
              <w:t xml:space="preserve">(days) </w:t>
            </w:r>
            <w:r>
              <w:rPr>
                <w:sz w:val="20"/>
                <w:szCs w:val="20"/>
              </w:rPr>
              <w:t>index episode (</w:t>
            </w:r>
            <w:r w:rsidRPr="00AC648D">
              <w:rPr>
                <w:sz w:val="20"/>
                <w:szCs w:val="20"/>
              </w:rPr>
              <w:t>mean</w:t>
            </w:r>
            <w:r>
              <w:rPr>
                <w:sz w:val="20"/>
                <w:szCs w:val="20"/>
              </w:rPr>
              <w:t>, median</w:t>
            </w:r>
            <w:r w:rsidRPr="00AC648D">
              <w:rPr>
                <w:sz w:val="20"/>
                <w:szCs w:val="20"/>
              </w:rPr>
              <w:t>)</w:t>
            </w:r>
          </w:p>
        </w:tc>
        <w:tc>
          <w:tcPr>
            <w:tcW w:w="1425" w:type="dxa"/>
          </w:tcPr>
          <w:p w14:paraId="29D9D833" w14:textId="3C46B307" w:rsidR="00074DEE" w:rsidRPr="00AC648D" w:rsidRDefault="00074DEE" w:rsidP="00AC648D">
            <w:pPr>
              <w:spacing w:line="360" w:lineRule="auto"/>
              <w:rPr>
                <w:sz w:val="20"/>
                <w:szCs w:val="20"/>
              </w:rPr>
            </w:pPr>
            <w:r>
              <w:rPr>
                <w:sz w:val="20"/>
                <w:szCs w:val="20"/>
              </w:rPr>
              <w:t>7.74; 5</w:t>
            </w:r>
          </w:p>
        </w:tc>
        <w:tc>
          <w:tcPr>
            <w:tcW w:w="1820" w:type="dxa"/>
          </w:tcPr>
          <w:p w14:paraId="2DC132D0" w14:textId="01F3BDF9" w:rsidR="00074DEE" w:rsidRPr="00AC648D" w:rsidRDefault="009864A1" w:rsidP="009864A1">
            <w:pPr>
              <w:spacing w:line="360" w:lineRule="auto"/>
              <w:rPr>
                <w:sz w:val="20"/>
                <w:szCs w:val="20"/>
              </w:rPr>
            </w:pPr>
            <w:r w:rsidRPr="009864A1">
              <w:rPr>
                <w:sz w:val="20"/>
                <w:szCs w:val="20"/>
              </w:rPr>
              <w:t>10.78</w:t>
            </w:r>
            <w:r>
              <w:rPr>
                <w:sz w:val="20"/>
                <w:szCs w:val="20"/>
              </w:rPr>
              <w:t xml:space="preserve">; </w:t>
            </w:r>
            <w:r w:rsidRPr="009864A1">
              <w:rPr>
                <w:sz w:val="20"/>
                <w:szCs w:val="20"/>
              </w:rPr>
              <w:t>6</w:t>
            </w:r>
          </w:p>
        </w:tc>
        <w:tc>
          <w:tcPr>
            <w:tcW w:w="2078" w:type="dxa"/>
          </w:tcPr>
          <w:p w14:paraId="317F5732" w14:textId="28967ACC" w:rsidR="00074DEE" w:rsidRPr="00AC648D" w:rsidRDefault="00FB7892" w:rsidP="00AC648D">
            <w:pPr>
              <w:spacing w:line="360" w:lineRule="auto"/>
              <w:rPr>
                <w:sz w:val="20"/>
                <w:szCs w:val="20"/>
              </w:rPr>
            </w:pPr>
            <w:r>
              <w:rPr>
                <w:sz w:val="20"/>
                <w:szCs w:val="20"/>
              </w:rPr>
              <w:t xml:space="preserve">11.06; </w:t>
            </w:r>
            <w:r w:rsidR="009864A1" w:rsidRPr="009864A1">
              <w:rPr>
                <w:sz w:val="20"/>
                <w:szCs w:val="20"/>
              </w:rPr>
              <w:t>8</w:t>
            </w:r>
          </w:p>
        </w:tc>
        <w:tc>
          <w:tcPr>
            <w:tcW w:w="2084" w:type="dxa"/>
          </w:tcPr>
          <w:p w14:paraId="2CA1EEF4" w14:textId="1A451D6E" w:rsidR="00074DEE" w:rsidRPr="00AC648D" w:rsidRDefault="00FB7892" w:rsidP="00AC648D">
            <w:pPr>
              <w:spacing w:line="360" w:lineRule="auto"/>
              <w:rPr>
                <w:sz w:val="20"/>
                <w:szCs w:val="20"/>
              </w:rPr>
            </w:pPr>
            <w:r>
              <w:rPr>
                <w:sz w:val="20"/>
                <w:szCs w:val="20"/>
              </w:rPr>
              <w:t xml:space="preserve">8.85; </w:t>
            </w:r>
            <w:r w:rsidRPr="00FB7892">
              <w:rPr>
                <w:sz w:val="20"/>
                <w:szCs w:val="20"/>
              </w:rPr>
              <w:t>7</w:t>
            </w:r>
          </w:p>
        </w:tc>
        <w:tc>
          <w:tcPr>
            <w:tcW w:w="1963" w:type="dxa"/>
          </w:tcPr>
          <w:p w14:paraId="666A23AD" w14:textId="09D84100" w:rsidR="00074DEE" w:rsidRPr="00AC648D" w:rsidRDefault="00FB7892" w:rsidP="00AC648D">
            <w:pPr>
              <w:spacing w:line="360" w:lineRule="auto"/>
              <w:rPr>
                <w:sz w:val="20"/>
                <w:szCs w:val="20"/>
              </w:rPr>
            </w:pPr>
            <w:r>
              <w:rPr>
                <w:sz w:val="20"/>
                <w:szCs w:val="20"/>
              </w:rPr>
              <w:t xml:space="preserve">4.73; </w:t>
            </w:r>
            <w:r w:rsidRPr="00FB7892">
              <w:rPr>
                <w:sz w:val="20"/>
                <w:szCs w:val="20"/>
              </w:rPr>
              <w:t>3</w:t>
            </w:r>
          </w:p>
        </w:tc>
      </w:tr>
      <w:tr w:rsidR="00074DEE" w14:paraId="69A2947D" w14:textId="77777777" w:rsidTr="009864A1">
        <w:trPr>
          <w:trHeight w:val="487"/>
        </w:trPr>
        <w:tc>
          <w:tcPr>
            <w:tcW w:w="4578" w:type="dxa"/>
            <w:gridSpan w:val="2"/>
          </w:tcPr>
          <w:p w14:paraId="08428268" w14:textId="5B9EA598" w:rsidR="00074DEE" w:rsidRDefault="00074DEE" w:rsidP="00AC648D">
            <w:pPr>
              <w:spacing w:line="360" w:lineRule="auto"/>
              <w:rPr>
                <w:sz w:val="20"/>
                <w:szCs w:val="20"/>
              </w:rPr>
            </w:pPr>
            <w:r>
              <w:rPr>
                <w:sz w:val="20"/>
                <w:szCs w:val="20"/>
              </w:rPr>
              <w:t>LOS</w:t>
            </w:r>
            <w:r w:rsidRPr="00AC648D">
              <w:rPr>
                <w:sz w:val="20"/>
                <w:szCs w:val="20"/>
              </w:rPr>
              <w:t xml:space="preserve"> (days) index CIS (mean</w:t>
            </w:r>
            <w:r>
              <w:rPr>
                <w:sz w:val="20"/>
                <w:szCs w:val="20"/>
              </w:rPr>
              <w:t>, median</w:t>
            </w:r>
            <w:r w:rsidRPr="00AC648D">
              <w:rPr>
                <w:sz w:val="20"/>
                <w:szCs w:val="20"/>
              </w:rPr>
              <w:t>)</w:t>
            </w:r>
          </w:p>
        </w:tc>
        <w:tc>
          <w:tcPr>
            <w:tcW w:w="1425" w:type="dxa"/>
          </w:tcPr>
          <w:p w14:paraId="7583BFE9" w14:textId="0FC80A5E" w:rsidR="00074DEE" w:rsidRPr="00AC648D" w:rsidRDefault="00074DEE" w:rsidP="00AC648D">
            <w:pPr>
              <w:spacing w:line="360" w:lineRule="auto"/>
              <w:rPr>
                <w:sz w:val="20"/>
                <w:szCs w:val="20"/>
              </w:rPr>
            </w:pPr>
            <w:r>
              <w:rPr>
                <w:sz w:val="20"/>
                <w:szCs w:val="20"/>
              </w:rPr>
              <w:t>10.98; 6</w:t>
            </w:r>
          </w:p>
        </w:tc>
        <w:tc>
          <w:tcPr>
            <w:tcW w:w="1820" w:type="dxa"/>
          </w:tcPr>
          <w:p w14:paraId="5A664EBF" w14:textId="1B31853E" w:rsidR="00074DEE" w:rsidRPr="00AC648D" w:rsidRDefault="009864A1" w:rsidP="009864A1">
            <w:pPr>
              <w:spacing w:line="360" w:lineRule="auto"/>
              <w:rPr>
                <w:sz w:val="20"/>
                <w:szCs w:val="20"/>
              </w:rPr>
            </w:pPr>
            <w:r>
              <w:rPr>
                <w:sz w:val="20"/>
                <w:szCs w:val="20"/>
              </w:rPr>
              <w:t xml:space="preserve">19.74; </w:t>
            </w:r>
            <w:r w:rsidRPr="009864A1">
              <w:rPr>
                <w:sz w:val="20"/>
                <w:szCs w:val="20"/>
              </w:rPr>
              <w:t>11</w:t>
            </w:r>
          </w:p>
        </w:tc>
        <w:tc>
          <w:tcPr>
            <w:tcW w:w="2078" w:type="dxa"/>
          </w:tcPr>
          <w:p w14:paraId="21E7CE07" w14:textId="4F587333" w:rsidR="00074DEE" w:rsidRPr="00AC648D" w:rsidRDefault="00FB7892" w:rsidP="00AC648D">
            <w:pPr>
              <w:spacing w:line="360" w:lineRule="auto"/>
              <w:rPr>
                <w:sz w:val="20"/>
                <w:szCs w:val="20"/>
              </w:rPr>
            </w:pPr>
            <w:r>
              <w:rPr>
                <w:sz w:val="20"/>
                <w:szCs w:val="20"/>
              </w:rPr>
              <w:t xml:space="preserve">15.13; </w:t>
            </w:r>
            <w:r w:rsidR="009864A1" w:rsidRPr="009864A1">
              <w:rPr>
                <w:sz w:val="20"/>
                <w:szCs w:val="20"/>
              </w:rPr>
              <w:t>8</w:t>
            </w:r>
          </w:p>
        </w:tc>
        <w:tc>
          <w:tcPr>
            <w:tcW w:w="2084" w:type="dxa"/>
          </w:tcPr>
          <w:p w14:paraId="54D7B7CF" w14:textId="0796329B" w:rsidR="00074DEE" w:rsidRPr="00AC648D" w:rsidRDefault="00FB7892" w:rsidP="00AC648D">
            <w:pPr>
              <w:spacing w:line="360" w:lineRule="auto"/>
              <w:rPr>
                <w:sz w:val="20"/>
                <w:szCs w:val="20"/>
              </w:rPr>
            </w:pPr>
            <w:r>
              <w:rPr>
                <w:sz w:val="20"/>
                <w:szCs w:val="20"/>
              </w:rPr>
              <w:t xml:space="preserve">12.08; </w:t>
            </w:r>
            <w:r w:rsidRPr="00FB7892">
              <w:rPr>
                <w:sz w:val="20"/>
                <w:szCs w:val="20"/>
              </w:rPr>
              <w:t>8</w:t>
            </w:r>
          </w:p>
        </w:tc>
        <w:tc>
          <w:tcPr>
            <w:tcW w:w="1963" w:type="dxa"/>
          </w:tcPr>
          <w:p w14:paraId="72B37529" w14:textId="6FCA066E" w:rsidR="00074DEE" w:rsidRPr="00AC648D" w:rsidRDefault="00FB7892" w:rsidP="00AC648D">
            <w:pPr>
              <w:spacing w:line="360" w:lineRule="auto"/>
              <w:rPr>
                <w:sz w:val="20"/>
                <w:szCs w:val="20"/>
              </w:rPr>
            </w:pPr>
            <w:r>
              <w:rPr>
                <w:sz w:val="20"/>
                <w:szCs w:val="20"/>
              </w:rPr>
              <w:t xml:space="preserve">5.29; </w:t>
            </w:r>
            <w:r w:rsidRPr="00FB7892">
              <w:rPr>
                <w:sz w:val="20"/>
                <w:szCs w:val="20"/>
              </w:rPr>
              <w:t>3</w:t>
            </w:r>
          </w:p>
        </w:tc>
      </w:tr>
      <w:tr w:rsidR="00074DEE" w14:paraId="5F305793" w14:textId="77777777" w:rsidTr="00074DEE">
        <w:trPr>
          <w:trHeight w:val="487"/>
        </w:trPr>
        <w:tc>
          <w:tcPr>
            <w:tcW w:w="1413" w:type="dxa"/>
            <w:vMerge w:val="restart"/>
          </w:tcPr>
          <w:p w14:paraId="49500812" w14:textId="77777777" w:rsidR="00074DEE" w:rsidRDefault="00074DEE" w:rsidP="00074DEE">
            <w:pPr>
              <w:spacing w:line="360" w:lineRule="auto"/>
              <w:rPr>
                <w:sz w:val="20"/>
                <w:szCs w:val="20"/>
              </w:rPr>
            </w:pPr>
          </w:p>
          <w:p w14:paraId="5B7E9365" w14:textId="77777777" w:rsidR="00074DEE" w:rsidRDefault="00074DEE" w:rsidP="00074DEE">
            <w:pPr>
              <w:spacing w:line="360" w:lineRule="auto"/>
              <w:rPr>
                <w:sz w:val="20"/>
                <w:szCs w:val="20"/>
              </w:rPr>
            </w:pPr>
          </w:p>
          <w:p w14:paraId="788CB30B" w14:textId="77777777" w:rsidR="00074DEE" w:rsidRDefault="00074DEE" w:rsidP="00074DEE">
            <w:pPr>
              <w:spacing w:line="360" w:lineRule="auto"/>
              <w:rPr>
                <w:sz w:val="20"/>
                <w:szCs w:val="20"/>
              </w:rPr>
            </w:pPr>
            <w:r w:rsidRPr="00AC648D">
              <w:rPr>
                <w:sz w:val="20"/>
                <w:szCs w:val="20"/>
              </w:rPr>
              <w:t>Cost of the index episode</w:t>
            </w:r>
            <w:r>
              <w:rPr>
                <w:sz w:val="20"/>
                <w:szCs w:val="20"/>
              </w:rPr>
              <w:t xml:space="preserve">* </w:t>
            </w:r>
          </w:p>
          <w:p w14:paraId="2A8C0D4C" w14:textId="46094F1D" w:rsidR="003528CE" w:rsidRPr="00AC648D" w:rsidRDefault="003528CE" w:rsidP="00074DEE">
            <w:pPr>
              <w:spacing w:line="360" w:lineRule="auto"/>
              <w:rPr>
                <w:sz w:val="20"/>
                <w:szCs w:val="20"/>
              </w:rPr>
            </w:pPr>
            <w:r>
              <w:rPr>
                <w:sz w:val="20"/>
                <w:szCs w:val="20"/>
              </w:rPr>
              <w:t>(Per patient)</w:t>
            </w:r>
          </w:p>
        </w:tc>
        <w:tc>
          <w:tcPr>
            <w:tcW w:w="3165" w:type="dxa"/>
          </w:tcPr>
          <w:p w14:paraId="3B6DEC43" w14:textId="60D36BCB" w:rsidR="00074DEE" w:rsidRPr="00AC648D" w:rsidRDefault="00074DEE" w:rsidP="00074DEE">
            <w:pPr>
              <w:spacing w:line="360" w:lineRule="auto"/>
              <w:rPr>
                <w:sz w:val="20"/>
                <w:szCs w:val="20"/>
              </w:rPr>
            </w:pPr>
            <w:r>
              <w:rPr>
                <w:sz w:val="20"/>
                <w:szCs w:val="20"/>
              </w:rPr>
              <w:t>Base Cost (mean, median)</w:t>
            </w:r>
          </w:p>
        </w:tc>
        <w:tc>
          <w:tcPr>
            <w:tcW w:w="1425" w:type="dxa"/>
          </w:tcPr>
          <w:p w14:paraId="3709AC77" w14:textId="7055C4CD" w:rsidR="00074DEE" w:rsidRDefault="00074DEE" w:rsidP="00AC648D">
            <w:pPr>
              <w:spacing w:line="360" w:lineRule="auto"/>
              <w:rPr>
                <w:sz w:val="20"/>
                <w:szCs w:val="20"/>
              </w:rPr>
            </w:pPr>
            <w:r>
              <w:rPr>
                <w:sz w:val="20"/>
                <w:szCs w:val="20"/>
              </w:rPr>
              <w:t>£8,587</w:t>
            </w:r>
            <w:r w:rsidR="00FB7892">
              <w:rPr>
                <w:sz w:val="20"/>
                <w:szCs w:val="20"/>
              </w:rPr>
              <w:t>;</w:t>
            </w:r>
          </w:p>
          <w:p w14:paraId="59E6EE5B" w14:textId="3A7CE632" w:rsidR="00074DEE" w:rsidRPr="00AC648D" w:rsidRDefault="00074DEE" w:rsidP="00AC648D">
            <w:pPr>
              <w:spacing w:line="360" w:lineRule="auto"/>
              <w:rPr>
                <w:sz w:val="20"/>
                <w:szCs w:val="20"/>
              </w:rPr>
            </w:pPr>
            <w:r>
              <w:rPr>
                <w:sz w:val="20"/>
                <w:szCs w:val="20"/>
              </w:rPr>
              <w:t>£7,250</w:t>
            </w:r>
          </w:p>
        </w:tc>
        <w:tc>
          <w:tcPr>
            <w:tcW w:w="1820" w:type="dxa"/>
          </w:tcPr>
          <w:p w14:paraId="613079E4" w14:textId="62AEA09C" w:rsidR="009864A1" w:rsidRDefault="009864A1" w:rsidP="00AC648D">
            <w:pPr>
              <w:spacing w:line="360" w:lineRule="auto"/>
              <w:rPr>
                <w:sz w:val="20"/>
                <w:szCs w:val="20"/>
              </w:rPr>
            </w:pPr>
            <w:r w:rsidRPr="009864A1">
              <w:rPr>
                <w:sz w:val="20"/>
                <w:szCs w:val="20"/>
              </w:rPr>
              <w:t>£7,483.6</w:t>
            </w:r>
            <w:r>
              <w:rPr>
                <w:sz w:val="20"/>
                <w:szCs w:val="20"/>
              </w:rPr>
              <w:t>;</w:t>
            </w:r>
          </w:p>
          <w:p w14:paraId="0B52F96B" w14:textId="4C011932" w:rsidR="00074DEE" w:rsidRPr="00AC648D" w:rsidRDefault="009864A1" w:rsidP="00AC648D">
            <w:pPr>
              <w:spacing w:line="360" w:lineRule="auto"/>
              <w:rPr>
                <w:sz w:val="20"/>
                <w:szCs w:val="20"/>
              </w:rPr>
            </w:pPr>
            <w:r w:rsidRPr="009864A1">
              <w:rPr>
                <w:sz w:val="20"/>
                <w:szCs w:val="20"/>
              </w:rPr>
              <w:t>£6,520.8</w:t>
            </w:r>
          </w:p>
        </w:tc>
        <w:tc>
          <w:tcPr>
            <w:tcW w:w="2078" w:type="dxa"/>
          </w:tcPr>
          <w:p w14:paraId="4D2D812D" w14:textId="3CDC9C86" w:rsidR="009864A1" w:rsidRDefault="009864A1" w:rsidP="00AC648D">
            <w:pPr>
              <w:spacing w:line="360" w:lineRule="auto"/>
              <w:rPr>
                <w:sz w:val="20"/>
                <w:szCs w:val="20"/>
              </w:rPr>
            </w:pPr>
            <w:r w:rsidRPr="009864A1">
              <w:rPr>
                <w:sz w:val="20"/>
                <w:szCs w:val="20"/>
              </w:rPr>
              <w:t>£8,778.9</w:t>
            </w:r>
            <w:r w:rsidR="00FB7892">
              <w:rPr>
                <w:sz w:val="20"/>
                <w:szCs w:val="20"/>
              </w:rPr>
              <w:t>;</w:t>
            </w:r>
            <w:r w:rsidRPr="009864A1">
              <w:rPr>
                <w:sz w:val="20"/>
                <w:szCs w:val="20"/>
              </w:rPr>
              <w:tab/>
            </w:r>
          </w:p>
          <w:p w14:paraId="093747FB" w14:textId="2F1B80EB" w:rsidR="00074DEE" w:rsidRPr="00AC648D" w:rsidRDefault="009864A1" w:rsidP="00AC648D">
            <w:pPr>
              <w:spacing w:line="360" w:lineRule="auto"/>
              <w:rPr>
                <w:sz w:val="20"/>
                <w:szCs w:val="20"/>
              </w:rPr>
            </w:pPr>
            <w:r w:rsidRPr="009864A1">
              <w:rPr>
                <w:sz w:val="20"/>
                <w:szCs w:val="20"/>
              </w:rPr>
              <w:t>£7,458.7</w:t>
            </w:r>
          </w:p>
        </w:tc>
        <w:tc>
          <w:tcPr>
            <w:tcW w:w="2084" w:type="dxa"/>
          </w:tcPr>
          <w:p w14:paraId="1B421BF3" w14:textId="7881ED5C" w:rsidR="00FB7892" w:rsidRDefault="00FB7892" w:rsidP="00AC648D">
            <w:pPr>
              <w:spacing w:line="360" w:lineRule="auto"/>
              <w:rPr>
                <w:sz w:val="20"/>
                <w:szCs w:val="20"/>
              </w:rPr>
            </w:pPr>
            <w:r w:rsidRPr="00FB7892">
              <w:rPr>
                <w:sz w:val="20"/>
                <w:szCs w:val="20"/>
              </w:rPr>
              <w:t>£7,212.4</w:t>
            </w:r>
            <w:r w:rsidRPr="00FB7892">
              <w:rPr>
                <w:sz w:val="20"/>
                <w:szCs w:val="20"/>
              </w:rPr>
              <w:tab/>
            </w:r>
            <w:r>
              <w:rPr>
                <w:sz w:val="20"/>
                <w:szCs w:val="20"/>
              </w:rPr>
              <w:t>;</w:t>
            </w:r>
          </w:p>
          <w:p w14:paraId="28D10DF3" w14:textId="593682BB" w:rsidR="00074DEE" w:rsidRPr="00AC648D" w:rsidRDefault="00FB7892" w:rsidP="00AC648D">
            <w:pPr>
              <w:spacing w:line="360" w:lineRule="auto"/>
              <w:rPr>
                <w:sz w:val="20"/>
                <w:szCs w:val="20"/>
              </w:rPr>
            </w:pPr>
            <w:r w:rsidRPr="00FB7892">
              <w:rPr>
                <w:sz w:val="20"/>
                <w:szCs w:val="20"/>
              </w:rPr>
              <w:t>£6,688.6</w:t>
            </w:r>
          </w:p>
        </w:tc>
        <w:tc>
          <w:tcPr>
            <w:tcW w:w="1963" w:type="dxa"/>
          </w:tcPr>
          <w:p w14:paraId="2F21369A" w14:textId="74FF76AC" w:rsidR="00FB7892" w:rsidRDefault="00FB7892" w:rsidP="00AC648D">
            <w:pPr>
              <w:spacing w:line="360" w:lineRule="auto"/>
              <w:rPr>
                <w:sz w:val="20"/>
                <w:szCs w:val="20"/>
              </w:rPr>
            </w:pPr>
            <w:r w:rsidRPr="00FB7892">
              <w:rPr>
                <w:sz w:val="20"/>
                <w:szCs w:val="20"/>
              </w:rPr>
              <w:t>£9,919.4</w:t>
            </w:r>
            <w:r>
              <w:rPr>
                <w:sz w:val="20"/>
                <w:szCs w:val="20"/>
              </w:rPr>
              <w:t>;</w:t>
            </w:r>
            <w:r w:rsidRPr="00FB7892">
              <w:rPr>
                <w:sz w:val="20"/>
                <w:szCs w:val="20"/>
              </w:rPr>
              <w:tab/>
            </w:r>
          </w:p>
          <w:p w14:paraId="7710EBBB" w14:textId="0DAC8970" w:rsidR="00074DEE" w:rsidRPr="00AC648D" w:rsidRDefault="00FB7892" w:rsidP="00AC648D">
            <w:pPr>
              <w:spacing w:line="360" w:lineRule="auto"/>
              <w:rPr>
                <w:sz w:val="20"/>
                <w:szCs w:val="20"/>
              </w:rPr>
            </w:pPr>
            <w:r w:rsidRPr="00FB7892">
              <w:rPr>
                <w:sz w:val="20"/>
                <w:szCs w:val="20"/>
              </w:rPr>
              <w:t>£8,320.1</w:t>
            </w:r>
          </w:p>
        </w:tc>
      </w:tr>
      <w:tr w:rsidR="0062074A" w14:paraId="36A1A85F" w14:textId="77777777" w:rsidTr="00074DEE">
        <w:trPr>
          <w:trHeight w:val="487"/>
        </w:trPr>
        <w:tc>
          <w:tcPr>
            <w:tcW w:w="1413" w:type="dxa"/>
            <w:vMerge/>
          </w:tcPr>
          <w:p w14:paraId="79F3DEFE" w14:textId="77777777" w:rsidR="0062074A" w:rsidRDefault="0062074A" w:rsidP="00074DEE">
            <w:pPr>
              <w:spacing w:line="360" w:lineRule="auto"/>
              <w:rPr>
                <w:sz w:val="20"/>
                <w:szCs w:val="20"/>
              </w:rPr>
            </w:pPr>
          </w:p>
        </w:tc>
        <w:tc>
          <w:tcPr>
            <w:tcW w:w="3165" w:type="dxa"/>
          </w:tcPr>
          <w:p w14:paraId="1BBEAC70" w14:textId="3770F951" w:rsidR="0062074A" w:rsidRDefault="0062074A" w:rsidP="00074DEE">
            <w:pPr>
              <w:spacing w:line="360" w:lineRule="auto"/>
              <w:rPr>
                <w:sz w:val="20"/>
                <w:szCs w:val="20"/>
              </w:rPr>
            </w:pPr>
            <w:r>
              <w:rPr>
                <w:sz w:val="20"/>
                <w:szCs w:val="20"/>
              </w:rPr>
              <w:t>Total Costs with Excess Bed Days and Unbundled Procedures Added (mean, median)</w:t>
            </w:r>
          </w:p>
        </w:tc>
        <w:tc>
          <w:tcPr>
            <w:tcW w:w="1425" w:type="dxa"/>
          </w:tcPr>
          <w:p w14:paraId="6814B040" w14:textId="15512FAE" w:rsidR="0062074A" w:rsidRDefault="0062074A" w:rsidP="00AC648D">
            <w:pPr>
              <w:spacing w:line="360" w:lineRule="auto"/>
              <w:rPr>
                <w:sz w:val="20"/>
                <w:szCs w:val="20"/>
              </w:rPr>
            </w:pPr>
            <w:r>
              <w:rPr>
                <w:sz w:val="20"/>
                <w:szCs w:val="20"/>
              </w:rPr>
              <w:t>£8,902</w:t>
            </w:r>
            <w:r w:rsidR="00FB7892">
              <w:rPr>
                <w:sz w:val="20"/>
                <w:szCs w:val="20"/>
              </w:rPr>
              <w:t>;</w:t>
            </w:r>
          </w:p>
          <w:p w14:paraId="7CEA0965" w14:textId="084B338B" w:rsidR="0062074A" w:rsidRDefault="0062074A" w:rsidP="00AC648D">
            <w:pPr>
              <w:spacing w:line="360" w:lineRule="auto"/>
              <w:rPr>
                <w:sz w:val="20"/>
                <w:szCs w:val="20"/>
              </w:rPr>
            </w:pPr>
            <w:r>
              <w:rPr>
                <w:sz w:val="20"/>
                <w:szCs w:val="20"/>
              </w:rPr>
              <w:t>£7,413</w:t>
            </w:r>
          </w:p>
        </w:tc>
        <w:tc>
          <w:tcPr>
            <w:tcW w:w="1820" w:type="dxa"/>
          </w:tcPr>
          <w:p w14:paraId="40CB6BD3" w14:textId="61743AD4" w:rsidR="009864A1" w:rsidRDefault="00FB7892" w:rsidP="00AC648D">
            <w:pPr>
              <w:spacing w:line="360" w:lineRule="auto"/>
              <w:rPr>
                <w:sz w:val="20"/>
                <w:szCs w:val="20"/>
              </w:rPr>
            </w:pPr>
            <w:r>
              <w:rPr>
                <w:sz w:val="20"/>
                <w:szCs w:val="20"/>
              </w:rPr>
              <w:t>£8,031.1</w:t>
            </w:r>
            <w:r w:rsidR="009864A1">
              <w:rPr>
                <w:sz w:val="20"/>
                <w:szCs w:val="20"/>
              </w:rPr>
              <w:t>;</w:t>
            </w:r>
          </w:p>
          <w:p w14:paraId="3977572F" w14:textId="7D0841A6" w:rsidR="0062074A" w:rsidRPr="00AC648D" w:rsidRDefault="009864A1" w:rsidP="00AC648D">
            <w:pPr>
              <w:spacing w:line="360" w:lineRule="auto"/>
              <w:rPr>
                <w:sz w:val="20"/>
                <w:szCs w:val="20"/>
              </w:rPr>
            </w:pPr>
            <w:r w:rsidRPr="009864A1">
              <w:rPr>
                <w:sz w:val="20"/>
                <w:szCs w:val="20"/>
              </w:rPr>
              <w:t>£6,709.1</w:t>
            </w:r>
          </w:p>
        </w:tc>
        <w:tc>
          <w:tcPr>
            <w:tcW w:w="2078" w:type="dxa"/>
          </w:tcPr>
          <w:p w14:paraId="417DFE4E" w14:textId="3882C016" w:rsidR="009864A1" w:rsidRDefault="009864A1" w:rsidP="00AC648D">
            <w:pPr>
              <w:spacing w:line="360" w:lineRule="auto"/>
              <w:rPr>
                <w:sz w:val="20"/>
                <w:szCs w:val="20"/>
              </w:rPr>
            </w:pPr>
            <w:r w:rsidRPr="009864A1">
              <w:rPr>
                <w:sz w:val="20"/>
                <w:szCs w:val="20"/>
              </w:rPr>
              <w:t>£9,401.7</w:t>
            </w:r>
            <w:r w:rsidR="00FB7892">
              <w:rPr>
                <w:sz w:val="20"/>
                <w:szCs w:val="20"/>
              </w:rPr>
              <w:t>;</w:t>
            </w:r>
            <w:r w:rsidRPr="009864A1">
              <w:rPr>
                <w:sz w:val="20"/>
                <w:szCs w:val="20"/>
              </w:rPr>
              <w:tab/>
            </w:r>
          </w:p>
          <w:p w14:paraId="32588AB4" w14:textId="5771BD74" w:rsidR="0062074A" w:rsidRPr="00AC648D" w:rsidRDefault="009864A1" w:rsidP="00AC648D">
            <w:pPr>
              <w:spacing w:line="360" w:lineRule="auto"/>
              <w:rPr>
                <w:sz w:val="20"/>
                <w:szCs w:val="20"/>
              </w:rPr>
            </w:pPr>
            <w:r w:rsidRPr="009864A1">
              <w:rPr>
                <w:sz w:val="20"/>
                <w:szCs w:val="20"/>
              </w:rPr>
              <w:t>£7,859.9</w:t>
            </w:r>
          </w:p>
        </w:tc>
        <w:tc>
          <w:tcPr>
            <w:tcW w:w="2084" w:type="dxa"/>
          </w:tcPr>
          <w:p w14:paraId="74C65328" w14:textId="2EB0A364" w:rsidR="00FB7892" w:rsidRDefault="00FB7892" w:rsidP="00AC648D">
            <w:pPr>
              <w:spacing w:line="360" w:lineRule="auto"/>
              <w:rPr>
                <w:sz w:val="20"/>
                <w:szCs w:val="20"/>
              </w:rPr>
            </w:pPr>
            <w:r w:rsidRPr="00FB7892">
              <w:rPr>
                <w:sz w:val="20"/>
                <w:szCs w:val="20"/>
              </w:rPr>
              <w:t>£7,502.4</w:t>
            </w:r>
            <w:r>
              <w:rPr>
                <w:sz w:val="20"/>
                <w:szCs w:val="20"/>
              </w:rPr>
              <w:t>;</w:t>
            </w:r>
            <w:r w:rsidRPr="00FB7892">
              <w:rPr>
                <w:sz w:val="20"/>
                <w:szCs w:val="20"/>
              </w:rPr>
              <w:tab/>
            </w:r>
          </w:p>
          <w:p w14:paraId="09CDF30F" w14:textId="366250E6" w:rsidR="0062074A" w:rsidRPr="00AC648D" w:rsidRDefault="00FB7892" w:rsidP="00AC648D">
            <w:pPr>
              <w:spacing w:line="360" w:lineRule="auto"/>
              <w:rPr>
                <w:sz w:val="20"/>
                <w:szCs w:val="20"/>
              </w:rPr>
            </w:pPr>
            <w:r w:rsidRPr="00FB7892">
              <w:rPr>
                <w:sz w:val="20"/>
                <w:szCs w:val="20"/>
              </w:rPr>
              <w:t>£6,839.1</w:t>
            </w:r>
          </w:p>
        </w:tc>
        <w:tc>
          <w:tcPr>
            <w:tcW w:w="1963" w:type="dxa"/>
          </w:tcPr>
          <w:p w14:paraId="48473882" w14:textId="05BDC06E" w:rsidR="00FB7892" w:rsidRDefault="00FB7892" w:rsidP="00AC648D">
            <w:pPr>
              <w:spacing w:line="360" w:lineRule="auto"/>
              <w:rPr>
                <w:sz w:val="20"/>
                <w:szCs w:val="20"/>
              </w:rPr>
            </w:pPr>
            <w:r>
              <w:rPr>
                <w:sz w:val="20"/>
                <w:szCs w:val="20"/>
              </w:rPr>
              <w:t>£10,061.3;</w:t>
            </w:r>
          </w:p>
          <w:p w14:paraId="3CF24DDB" w14:textId="113F6660" w:rsidR="0062074A" w:rsidRPr="00AC648D" w:rsidRDefault="00FB7892" w:rsidP="00AC648D">
            <w:pPr>
              <w:spacing w:line="360" w:lineRule="auto"/>
              <w:rPr>
                <w:sz w:val="20"/>
                <w:szCs w:val="20"/>
              </w:rPr>
            </w:pPr>
            <w:r w:rsidRPr="00FB7892">
              <w:rPr>
                <w:sz w:val="20"/>
                <w:szCs w:val="20"/>
              </w:rPr>
              <w:t>£8,379.1</w:t>
            </w:r>
          </w:p>
        </w:tc>
      </w:tr>
      <w:tr w:rsidR="0062074A" w14:paraId="02D68D43" w14:textId="77777777" w:rsidTr="00074DEE">
        <w:trPr>
          <w:trHeight w:val="487"/>
        </w:trPr>
        <w:tc>
          <w:tcPr>
            <w:tcW w:w="1413" w:type="dxa"/>
            <w:vMerge/>
          </w:tcPr>
          <w:p w14:paraId="29C3453C" w14:textId="77777777" w:rsidR="0062074A" w:rsidRPr="00AC648D" w:rsidRDefault="0062074A" w:rsidP="00074DEE">
            <w:pPr>
              <w:spacing w:line="360" w:lineRule="auto"/>
              <w:rPr>
                <w:sz w:val="20"/>
                <w:szCs w:val="20"/>
              </w:rPr>
            </w:pPr>
          </w:p>
        </w:tc>
        <w:tc>
          <w:tcPr>
            <w:tcW w:w="3165" w:type="dxa"/>
          </w:tcPr>
          <w:p w14:paraId="4343D7B4" w14:textId="2AD14BB8" w:rsidR="0062074A" w:rsidRDefault="0062074A" w:rsidP="00074DEE">
            <w:pPr>
              <w:spacing w:line="360" w:lineRule="auto"/>
              <w:rPr>
                <w:sz w:val="20"/>
                <w:szCs w:val="20"/>
              </w:rPr>
            </w:pPr>
            <w:r>
              <w:rPr>
                <w:sz w:val="20"/>
                <w:szCs w:val="20"/>
              </w:rPr>
              <w:t>Total Cost with Excess Bed Days, Unbundled Procedures, and Critical Care Added (mean, median)</w:t>
            </w:r>
          </w:p>
        </w:tc>
        <w:tc>
          <w:tcPr>
            <w:tcW w:w="1425" w:type="dxa"/>
          </w:tcPr>
          <w:p w14:paraId="08BB0B7A" w14:textId="0835C0F0" w:rsidR="0062074A" w:rsidRDefault="0062074A" w:rsidP="00074DEE">
            <w:pPr>
              <w:spacing w:line="360" w:lineRule="auto"/>
              <w:rPr>
                <w:sz w:val="20"/>
                <w:szCs w:val="20"/>
              </w:rPr>
            </w:pPr>
            <w:r>
              <w:rPr>
                <w:sz w:val="20"/>
                <w:szCs w:val="20"/>
              </w:rPr>
              <w:t>£11,561.7</w:t>
            </w:r>
            <w:r w:rsidR="00FB7892">
              <w:rPr>
                <w:sz w:val="20"/>
                <w:szCs w:val="20"/>
              </w:rPr>
              <w:t>;</w:t>
            </w:r>
          </w:p>
          <w:p w14:paraId="1CB6E41E" w14:textId="3D630245" w:rsidR="0062074A" w:rsidRPr="00AC648D" w:rsidRDefault="0062074A" w:rsidP="00074DEE">
            <w:pPr>
              <w:spacing w:line="360" w:lineRule="auto"/>
              <w:rPr>
                <w:sz w:val="20"/>
                <w:szCs w:val="20"/>
              </w:rPr>
            </w:pPr>
            <w:r>
              <w:rPr>
                <w:sz w:val="20"/>
                <w:szCs w:val="20"/>
              </w:rPr>
              <w:t>£9,035.3</w:t>
            </w:r>
          </w:p>
        </w:tc>
        <w:tc>
          <w:tcPr>
            <w:tcW w:w="1820" w:type="dxa"/>
          </w:tcPr>
          <w:p w14:paraId="48F56CEA" w14:textId="77777777" w:rsidR="009864A1" w:rsidRDefault="009864A1" w:rsidP="00074DEE">
            <w:pPr>
              <w:spacing w:line="360" w:lineRule="auto"/>
              <w:rPr>
                <w:sz w:val="20"/>
                <w:szCs w:val="20"/>
              </w:rPr>
            </w:pPr>
            <w:r>
              <w:rPr>
                <w:sz w:val="20"/>
                <w:szCs w:val="20"/>
              </w:rPr>
              <w:t>£14,779.3;</w:t>
            </w:r>
          </w:p>
          <w:p w14:paraId="2F5A1091" w14:textId="17AC52E9" w:rsidR="0062074A" w:rsidRPr="00AC648D" w:rsidRDefault="009864A1" w:rsidP="00074DEE">
            <w:pPr>
              <w:spacing w:line="360" w:lineRule="auto"/>
              <w:rPr>
                <w:sz w:val="20"/>
                <w:szCs w:val="20"/>
              </w:rPr>
            </w:pPr>
            <w:r w:rsidRPr="009864A1">
              <w:rPr>
                <w:sz w:val="20"/>
                <w:szCs w:val="20"/>
              </w:rPr>
              <w:t>£10,022.6</w:t>
            </w:r>
          </w:p>
        </w:tc>
        <w:tc>
          <w:tcPr>
            <w:tcW w:w="2078" w:type="dxa"/>
          </w:tcPr>
          <w:p w14:paraId="7669EA2D" w14:textId="383319C0" w:rsidR="009864A1" w:rsidRDefault="009864A1" w:rsidP="00074DEE">
            <w:pPr>
              <w:spacing w:line="360" w:lineRule="auto"/>
              <w:rPr>
                <w:sz w:val="20"/>
                <w:szCs w:val="20"/>
              </w:rPr>
            </w:pPr>
            <w:r>
              <w:rPr>
                <w:sz w:val="20"/>
                <w:szCs w:val="20"/>
              </w:rPr>
              <w:t>£12,235.8</w:t>
            </w:r>
            <w:r w:rsidR="00FB7892">
              <w:rPr>
                <w:sz w:val="20"/>
                <w:szCs w:val="20"/>
              </w:rPr>
              <w:t>;</w:t>
            </w:r>
          </w:p>
          <w:p w14:paraId="2D3A50F6" w14:textId="4FF49E4E" w:rsidR="0062074A" w:rsidRPr="00AC648D" w:rsidRDefault="009864A1" w:rsidP="00074DEE">
            <w:pPr>
              <w:spacing w:line="360" w:lineRule="auto"/>
              <w:rPr>
                <w:sz w:val="20"/>
                <w:szCs w:val="20"/>
              </w:rPr>
            </w:pPr>
            <w:r w:rsidRPr="009864A1">
              <w:rPr>
                <w:sz w:val="20"/>
                <w:szCs w:val="20"/>
              </w:rPr>
              <w:t>£9,703.4</w:t>
            </w:r>
          </w:p>
        </w:tc>
        <w:tc>
          <w:tcPr>
            <w:tcW w:w="2084" w:type="dxa"/>
          </w:tcPr>
          <w:p w14:paraId="7078BCA8" w14:textId="3E1549D2" w:rsidR="00FB7892" w:rsidRDefault="00FB7892" w:rsidP="00074DEE">
            <w:pPr>
              <w:spacing w:line="360" w:lineRule="auto"/>
              <w:rPr>
                <w:sz w:val="20"/>
                <w:szCs w:val="20"/>
              </w:rPr>
            </w:pPr>
            <w:r>
              <w:rPr>
                <w:sz w:val="20"/>
                <w:szCs w:val="20"/>
              </w:rPr>
              <w:t>£10,607.4;</w:t>
            </w:r>
          </w:p>
          <w:p w14:paraId="3140AF61" w14:textId="390E30F3" w:rsidR="0062074A" w:rsidRPr="00AC648D" w:rsidRDefault="00FB7892" w:rsidP="00074DEE">
            <w:pPr>
              <w:spacing w:line="360" w:lineRule="auto"/>
              <w:rPr>
                <w:sz w:val="20"/>
                <w:szCs w:val="20"/>
              </w:rPr>
            </w:pPr>
            <w:r w:rsidRPr="00FB7892">
              <w:rPr>
                <w:sz w:val="20"/>
                <w:szCs w:val="20"/>
              </w:rPr>
              <w:t>£8,708.4</w:t>
            </w:r>
          </w:p>
        </w:tc>
        <w:tc>
          <w:tcPr>
            <w:tcW w:w="1963" w:type="dxa"/>
          </w:tcPr>
          <w:p w14:paraId="44940086" w14:textId="183CA47D" w:rsidR="00FB7892" w:rsidRDefault="00FB7892" w:rsidP="00074DEE">
            <w:pPr>
              <w:spacing w:line="360" w:lineRule="auto"/>
              <w:rPr>
                <w:sz w:val="20"/>
                <w:szCs w:val="20"/>
              </w:rPr>
            </w:pPr>
            <w:r>
              <w:rPr>
                <w:sz w:val="20"/>
                <w:szCs w:val="20"/>
              </w:rPr>
              <w:t>£10,616.8;</w:t>
            </w:r>
          </w:p>
          <w:p w14:paraId="1994F70E" w14:textId="5461BCC7" w:rsidR="0062074A" w:rsidRPr="00AC648D" w:rsidRDefault="00FB7892" w:rsidP="00074DEE">
            <w:pPr>
              <w:spacing w:line="360" w:lineRule="auto"/>
              <w:rPr>
                <w:sz w:val="20"/>
                <w:szCs w:val="20"/>
              </w:rPr>
            </w:pPr>
            <w:r w:rsidRPr="00FB7892">
              <w:rPr>
                <w:sz w:val="20"/>
                <w:szCs w:val="20"/>
              </w:rPr>
              <w:t>£8,753.6</w:t>
            </w:r>
          </w:p>
        </w:tc>
      </w:tr>
    </w:tbl>
    <w:p w14:paraId="5BD39AB2" w14:textId="0AF85590" w:rsidR="001A5541" w:rsidRDefault="00074DEE" w:rsidP="007E6D9B">
      <w:pPr>
        <w:spacing w:line="360" w:lineRule="auto"/>
        <w:jc w:val="both"/>
        <w:rPr>
          <w:rFonts w:eastAsiaTheme="minorHAnsi" w:cs="Times New Roman"/>
          <w:lang w:eastAsia="en-US"/>
        </w:rPr>
      </w:pPr>
      <w:r>
        <w:rPr>
          <w:rFonts w:eastAsiaTheme="minorHAnsi" w:cs="Times New Roman"/>
          <w:lang w:eastAsia="en-US"/>
        </w:rPr>
        <w:t>*: after imputations based on assumptions (see discussion above)</w:t>
      </w:r>
    </w:p>
    <w:p w14:paraId="65893FD5" w14:textId="77777777" w:rsidR="001A5541" w:rsidRDefault="001A5541" w:rsidP="007E6D9B">
      <w:pPr>
        <w:spacing w:line="360" w:lineRule="auto"/>
        <w:jc w:val="both"/>
        <w:rPr>
          <w:rFonts w:eastAsiaTheme="minorHAnsi" w:cs="Times New Roman"/>
          <w:lang w:eastAsia="en-US"/>
        </w:rPr>
      </w:pPr>
    </w:p>
    <w:p w14:paraId="6F52E481" w14:textId="77777777" w:rsidR="001A5541" w:rsidRDefault="001A5541" w:rsidP="007E6D9B">
      <w:pPr>
        <w:spacing w:line="360" w:lineRule="auto"/>
        <w:jc w:val="both"/>
        <w:rPr>
          <w:rFonts w:eastAsiaTheme="minorHAnsi" w:cs="Times New Roman"/>
          <w:lang w:eastAsia="en-US"/>
        </w:rPr>
        <w:sectPr w:rsidR="001A5541" w:rsidSect="001A5541">
          <w:pgSz w:w="16838" w:h="11906" w:orient="landscape"/>
          <w:pgMar w:top="1440" w:right="1440" w:bottom="1440" w:left="1440" w:header="709" w:footer="709" w:gutter="0"/>
          <w:cols w:space="708"/>
          <w:docGrid w:linePitch="360"/>
        </w:sectPr>
      </w:pPr>
    </w:p>
    <w:p w14:paraId="48F5537D" w14:textId="0DB8BF36" w:rsidR="00235394" w:rsidRDefault="00235394" w:rsidP="00235394">
      <w:pPr>
        <w:rPr>
          <w:rFonts w:eastAsiaTheme="minorHAnsi" w:cs="Times New Roman"/>
          <w:lang w:eastAsia="en-US"/>
        </w:rPr>
      </w:pPr>
      <w:r>
        <w:rPr>
          <w:rFonts w:eastAsiaTheme="minorHAnsi" w:cs="Times New Roman"/>
          <w:lang w:eastAsia="en-US"/>
        </w:rPr>
        <w:lastRenderedPageBreak/>
        <w:t xml:space="preserve">Distribution of costs data for each group: </w:t>
      </w:r>
    </w:p>
    <w:p w14:paraId="39DB42FF" w14:textId="2173D486" w:rsidR="00235394" w:rsidRDefault="003302AA" w:rsidP="00235394">
      <w:pPr>
        <w:rPr>
          <w:rFonts w:eastAsiaTheme="minorHAnsi" w:cs="Times New Roman"/>
          <w:lang w:eastAsia="en-US"/>
        </w:rPr>
      </w:pPr>
      <w:r>
        <w:rPr>
          <w:noProof/>
        </w:rPr>
        <w:drawing>
          <wp:anchor distT="0" distB="0" distL="114300" distR="114300" simplePos="0" relativeHeight="251665408" behindDoc="0" locked="0" layoutInCell="1" allowOverlap="1" wp14:anchorId="0B65BA2F" wp14:editId="073A86B7">
            <wp:simplePos x="0" y="0"/>
            <wp:positionH relativeFrom="column">
              <wp:posOffset>3191474</wp:posOffset>
            </wp:positionH>
            <wp:positionV relativeFrom="paragraph">
              <wp:posOffset>347226</wp:posOffset>
            </wp:positionV>
            <wp:extent cx="2880000" cy="2880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880000" cy="2880000"/>
                    </a:xfrm>
                    <a:prstGeom prst="rect">
                      <a:avLst/>
                    </a:prstGeom>
                  </pic:spPr>
                </pic:pic>
              </a:graphicData>
            </a:graphic>
            <wp14:sizeRelH relativeFrom="margin">
              <wp14:pctWidth>0</wp14:pctWidth>
            </wp14:sizeRelH>
            <wp14:sizeRelV relativeFrom="margin">
              <wp14:pctHeight>0</wp14:pctHeight>
            </wp14:sizeRelV>
          </wp:anchor>
        </w:drawing>
      </w:r>
    </w:p>
    <w:p w14:paraId="3A87882E" w14:textId="64CB4A86" w:rsidR="00235394" w:rsidRDefault="00235394" w:rsidP="00235394">
      <w:pPr>
        <w:rPr>
          <w:rFonts w:eastAsiaTheme="minorHAnsi" w:cs="Times New Roman"/>
          <w:lang w:eastAsia="en-US"/>
        </w:rPr>
      </w:pPr>
      <w:r>
        <w:rPr>
          <w:noProof/>
        </w:rPr>
        <w:drawing>
          <wp:inline distT="0" distB="0" distL="0" distR="0" wp14:anchorId="1A6138E7" wp14:editId="4C42269B">
            <wp:extent cx="2880000" cy="288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80000" cy="2880000"/>
                    </a:xfrm>
                    <a:prstGeom prst="rect">
                      <a:avLst/>
                    </a:prstGeom>
                  </pic:spPr>
                </pic:pic>
              </a:graphicData>
            </a:graphic>
          </wp:inline>
        </w:drawing>
      </w:r>
    </w:p>
    <w:p w14:paraId="5760E7B1" w14:textId="54AEFE75" w:rsidR="00235394" w:rsidRDefault="00235394" w:rsidP="00235394">
      <w:pPr>
        <w:rPr>
          <w:rFonts w:eastAsiaTheme="minorHAnsi" w:cs="Times New Roman"/>
          <w:lang w:eastAsia="en-US"/>
        </w:rPr>
      </w:pPr>
    </w:p>
    <w:p w14:paraId="76A43B10" w14:textId="6218B382" w:rsidR="00235394" w:rsidRDefault="00235394" w:rsidP="00235394">
      <w:pPr>
        <w:rPr>
          <w:rFonts w:eastAsiaTheme="minorHAnsi" w:cs="Times New Roman"/>
          <w:lang w:eastAsia="en-US"/>
        </w:rPr>
      </w:pPr>
    </w:p>
    <w:p w14:paraId="6008BF2B" w14:textId="5864ADF6" w:rsidR="003302AA" w:rsidRDefault="003302AA" w:rsidP="00235394">
      <w:pPr>
        <w:rPr>
          <w:rFonts w:eastAsiaTheme="minorHAnsi" w:cs="Times New Roman"/>
          <w:lang w:eastAsia="en-US"/>
        </w:rPr>
      </w:pPr>
      <w:r>
        <w:rPr>
          <w:noProof/>
        </w:rPr>
        <w:drawing>
          <wp:anchor distT="0" distB="0" distL="114300" distR="114300" simplePos="0" relativeHeight="251666432" behindDoc="0" locked="0" layoutInCell="1" allowOverlap="1" wp14:anchorId="1F1D76A3" wp14:editId="0714FEFB">
            <wp:simplePos x="0" y="0"/>
            <wp:positionH relativeFrom="column">
              <wp:posOffset>3191606</wp:posOffset>
            </wp:positionH>
            <wp:positionV relativeFrom="paragraph">
              <wp:posOffset>11083</wp:posOffset>
            </wp:positionV>
            <wp:extent cx="2880000" cy="28800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880000" cy="2880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B62190A" wp14:editId="07642D21">
            <wp:extent cx="2880000" cy="2880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80000" cy="2880000"/>
                    </a:xfrm>
                    <a:prstGeom prst="rect">
                      <a:avLst/>
                    </a:prstGeom>
                  </pic:spPr>
                </pic:pic>
              </a:graphicData>
            </a:graphic>
          </wp:inline>
        </w:drawing>
      </w:r>
    </w:p>
    <w:p w14:paraId="14D58480" w14:textId="0AF700E1" w:rsidR="003302AA" w:rsidRDefault="003302AA" w:rsidP="00235394">
      <w:pPr>
        <w:rPr>
          <w:rFonts w:eastAsiaTheme="minorHAnsi" w:cs="Times New Roman"/>
          <w:lang w:eastAsia="en-US"/>
        </w:rPr>
      </w:pPr>
    </w:p>
    <w:p w14:paraId="043AA2F8" w14:textId="77777777" w:rsidR="00EC6B02" w:rsidRDefault="00EC6B02">
      <w:pPr>
        <w:spacing w:after="160" w:line="259" w:lineRule="auto"/>
        <w:rPr>
          <w:rFonts w:eastAsiaTheme="minorHAnsi" w:cs="Times New Roman"/>
          <w:lang w:eastAsia="en-US"/>
        </w:rPr>
      </w:pPr>
      <w:r>
        <w:rPr>
          <w:rFonts w:eastAsiaTheme="minorHAnsi" w:cs="Times New Roman"/>
          <w:lang w:eastAsia="en-US"/>
        </w:rPr>
        <w:br w:type="page"/>
      </w:r>
    </w:p>
    <w:p w14:paraId="66AB5ACA" w14:textId="28BA0ABC" w:rsidR="003302AA" w:rsidRDefault="003302AA" w:rsidP="003302AA">
      <w:pPr>
        <w:rPr>
          <w:rFonts w:eastAsiaTheme="minorHAnsi" w:cs="Times New Roman"/>
          <w:lang w:eastAsia="en-US"/>
        </w:rPr>
      </w:pPr>
      <w:r>
        <w:rPr>
          <w:rFonts w:eastAsiaTheme="minorHAnsi" w:cs="Times New Roman"/>
          <w:lang w:eastAsia="en-US"/>
        </w:rPr>
        <w:lastRenderedPageBreak/>
        <w:t xml:space="preserve">Distribution of log costs data for each group: </w:t>
      </w:r>
    </w:p>
    <w:p w14:paraId="687BDABF" w14:textId="5433C206" w:rsidR="003302AA" w:rsidRDefault="003302AA" w:rsidP="003302AA">
      <w:pPr>
        <w:rPr>
          <w:rFonts w:eastAsiaTheme="minorHAnsi" w:cs="Times New Roman"/>
          <w:lang w:eastAsia="en-US"/>
        </w:rPr>
      </w:pPr>
    </w:p>
    <w:p w14:paraId="60A7512C" w14:textId="74D9CC09" w:rsidR="00E56CAF" w:rsidRDefault="00E56CAF" w:rsidP="003302AA">
      <w:pPr>
        <w:rPr>
          <w:rFonts w:eastAsiaTheme="minorHAnsi" w:cs="Times New Roman"/>
          <w:lang w:eastAsia="en-US"/>
        </w:rPr>
      </w:pPr>
      <w:r>
        <w:rPr>
          <w:noProof/>
        </w:rPr>
        <w:drawing>
          <wp:anchor distT="0" distB="0" distL="114300" distR="114300" simplePos="0" relativeHeight="251667456" behindDoc="0" locked="0" layoutInCell="1" allowOverlap="1" wp14:anchorId="4836B4B2" wp14:editId="3815E8F4">
            <wp:simplePos x="0" y="0"/>
            <wp:positionH relativeFrom="column">
              <wp:posOffset>3243532</wp:posOffset>
            </wp:positionH>
            <wp:positionV relativeFrom="paragraph">
              <wp:posOffset>8986</wp:posOffset>
            </wp:positionV>
            <wp:extent cx="2880000" cy="28800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880000" cy="2880000"/>
                    </a:xfrm>
                    <a:prstGeom prst="rect">
                      <a:avLst/>
                    </a:prstGeom>
                  </pic:spPr>
                </pic:pic>
              </a:graphicData>
            </a:graphic>
          </wp:anchor>
        </w:drawing>
      </w:r>
      <w:r>
        <w:rPr>
          <w:noProof/>
        </w:rPr>
        <w:drawing>
          <wp:inline distT="0" distB="0" distL="0" distR="0" wp14:anchorId="3BA6B74D" wp14:editId="011ADFBA">
            <wp:extent cx="2880000" cy="2880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80000" cy="2880000"/>
                    </a:xfrm>
                    <a:prstGeom prst="rect">
                      <a:avLst/>
                    </a:prstGeom>
                  </pic:spPr>
                </pic:pic>
              </a:graphicData>
            </a:graphic>
          </wp:inline>
        </w:drawing>
      </w:r>
    </w:p>
    <w:p w14:paraId="66E061AE" w14:textId="479F1030" w:rsidR="00E56CAF" w:rsidRDefault="00E56CAF" w:rsidP="003302AA">
      <w:pPr>
        <w:rPr>
          <w:rFonts w:eastAsiaTheme="minorHAnsi" w:cs="Times New Roman"/>
          <w:lang w:eastAsia="en-US"/>
        </w:rPr>
      </w:pPr>
    </w:p>
    <w:p w14:paraId="18BF52DB" w14:textId="635887FF" w:rsidR="003302AA" w:rsidRDefault="003302AA" w:rsidP="003302AA">
      <w:pPr>
        <w:rPr>
          <w:rFonts w:eastAsiaTheme="minorHAnsi" w:cs="Times New Roman"/>
          <w:lang w:eastAsia="en-US"/>
        </w:rPr>
      </w:pPr>
    </w:p>
    <w:p w14:paraId="43AFBF4C" w14:textId="1BD336F5" w:rsidR="003302AA" w:rsidRDefault="003302AA" w:rsidP="003302AA">
      <w:pPr>
        <w:rPr>
          <w:rFonts w:eastAsiaTheme="minorHAnsi" w:cs="Times New Roman"/>
          <w:lang w:eastAsia="en-US"/>
        </w:rPr>
      </w:pPr>
    </w:p>
    <w:p w14:paraId="3A8D2FA9" w14:textId="6B0D5F9E" w:rsidR="003302AA" w:rsidRDefault="00E56CAF" w:rsidP="003302AA">
      <w:pPr>
        <w:rPr>
          <w:rFonts w:eastAsiaTheme="minorHAnsi" w:cs="Times New Roman"/>
          <w:lang w:eastAsia="en-US"/>
        </w:rPr>
      </w:pPr>
      <w:r>
        <w:rPr>
          <w:noProof/>
        </w:rPr>
        <w:drawing>
          <wp:anchor distT="0" distB="0" distL="114300" distR="114300" simplePos="0" relativeHeight="251668480" behindDoc="0" locked="0" layoutInCell="1" allowOverlap="1" wp14:anchorId="412B8D25" wp14:editId="6002A790">
            <wp:simplePos x="0" y="0"/>
            <wp:positionH relativeFrom="column">
              <wp:posOffset>3286664</wp:posOffset>
            </wp:positionH>
            <wp:positionV relativeFrom="paragraph">
              <wp:posOffset>8219</wp:posOffset>
            </wp:positionV>
            <wp:extent cx="2879725" cy="28797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879725" cy="2879725"/>
                    </a:xfrm>
                    <a:prstGeom prst="rect">
                      <a:avLst/>
                    </a:prstGeom>
                  </pic:spPr>
                </pic:pic>
              </a:graphicData>
            </a:graphic>
          </wp:anchor>
        </w:drawing>
      </w:r>
      <w:r w:rsidR="003302AA">
        <w:rPr>
          <w:noProof/>
        </w:rPr>
        <w:drawing>
          <wp:inline distT="0" distB="0" distL="0" distR="0" wp14:anchorId="16E0C8F6" wp14:editId="372828AF">
            <wp:extent cx="2880000" cy="2880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80000" cy="2880000"/>
                    </a:xfrm>
                    <a:prstGeom prst="rect">
                      <a:avLst/>
                    </a:prstGeom>
                  </pic:spPr>
                </pic:pic>
              </a:graphicData>
            </a:graphic>
          </wp:inline>
        </w:drawing>
      </w:r>
    </w:p>
    <w:p w14:paraId="17140E75" w14:textId="4223B551" w:rsidR="003302AA" w:rsidRDefault="003302AA" w:rsidP="003302AA">
      <w:pPr>
        <w:rPr>
          <w:rFonts w:eastAsiaTheme="minorHAnsi" w:cs="Times New Roman"/>
          <w:lang w:eastAsia="en-US"/>
        </w:rPr>
      </w:pPr>
    </w:p>
    <w:p w14:paraId="6EEFCE26" w14:textId="50C51BB2" w:rsidR="003302AA" w:rsidRDefault="003302AA" w:rsidP="003302AA">
      <w:pPr>
        <w:rPr>
          <w:rFonts w:eastAsiaTheme="minorHAnsi" w:cs="Times New Roman"/>
          <w:lang w:eastAsia="en-US"/>
        </w:rPr>
      </w:pPr>
    </w:p>
    <w:p w14:paraId="34C469E2" w14:textId="17545D96" w:rsidR="003302AA" w:rsidRDefault="003302AA" w:rsidP="003302AA">
      <w:pPr>
        <w:rPr>
          <w:rFonts w:eastAsiaTheme="minorHAnsi" w:cs="Times New Roman"/>
          <w:lang w:eastAsia="en-US"/>
        </w:rPr>
      </w:pPr>
    </w:p>
    <w:p w14:paraId="1E1F5424" w14:textId="77777777" w:rsidR="003302AA" w:rsidRDefault="003302AA" w:rsidP="003302AA">
      <w:pPr>
        <w:rPr>
          <w:rFonts w:eastAsiaTheme="minorHAnsi" w:cs="Times New Roman"/>
          <w:lang w:eastAsia="en-US"/>
        </w:rPr>
      </w:pPr>
    </w:p>
    <w:p w14:paraId="465B62A0" w14:textId="738597B5" w:rsidR="004F606E" w:rsidRDefault="00235394" w:rsidP="00EC6B02">
      <w:pPr>
        <w:pStyle w:val="Heading2"/>
        <w:numPr>
          <w:ilvl w:val="0"/>
          <w:numId w:val="0"/>
        </w:numPr>
        <w:ind w:left="576" w:hanging="576"/>
        <w:rPr>
          <w:lang w:eastAsia="en-US"/>
        </w:rPr>
      </w:pPr>
      <w:r>
        <w:rPr>
          <w:lang w:eastAsia="en-US"/>
        </w:rPr>
        <w:t>Descriptive u</w:t>
      </w:r>
      <w:r w:rsidR="002A4B68">
        <w:rPr>
          <w:lang w:eastAsia="en-US"/>
        </w:rPr>
        <w:t xml:space="preserve">nivariate analyses </w:t>
      </w:r>
      <w:r w:rsidR="004F606E">
        <w:rPr>
          <w:lang w:eastAsia="en-US"/>
        </w:rPr>
        <w:t xml:space="preserve"> </w:t>
      </w:r>
    </w:p>
    <w:p w14:paraId="3480C1CB" w14:textId="7EEBDA5E" w:rsidR="005D560D" w:rsidRDefault="001268BC" w:rsidP="00810317">
      <w:pPr>
        <w:rPr>
          <w:rFonts w:eastAsiaTheme="minorHAnsi" w:cs="Times New Roman"/>
          <w:b/>
          <w:lang w:eastAsia="en-US"/>
        </w:rPr>
      </w:pPr>
      <w:r>
        <w:rPr>
          <w:rFonts w:eastAsiaTheme="minorHAnsi" w:cs="Times New Roman"/>
          <w:b/>
          <w:i/>
          <w:lang w:eastAsia="en-US"/>
        </w:rPr>
        <w:t>T</w:t>
      </w:r>
      <w:r w:rsidR="005D560D">
        <w:rPr>
          <w:rFonts w:eastAsiaTheme="minorHAnsi" w:cs="Times New Roman"/>
          <w:b/>
          <w:i/>
          <w:lang w:eastAsia="en-US"/>
        </w:rPr>
        <w:t xml:space="preserve">rends by year </w:t>
      </w:r>
    </w:p>
    <w:p w14:paraId="39253A1D" w14:textId="5F2B58D4" w:rsidR="001268BC" w:rsidRPr="001268BC" w:rsidRDefault="00C7112C" w:rsidP="00810317">
      <w:pPr>
        <w:rPr>
          <w:rFonts w:eastAsiaTheme="minorHAnsi" w:cs="Times New Roman"/>
          <w:b/>
          <w:lang w:eastAsia="en-US"/>
        </w:rPr>
      </w:pPr>
      <w:r>
        <w:rPr>
          <w:rFonts w:eastAsiaTheme="minorHAnsi" w:cs="Times New Roman"/>
          <w:b/>
          <w:noProof/>
        </w:rPr>
        <w:drawing>
          <wp:inline distT="0" distB="0" distL="0" distR="0" wp14:anchorId="1CFBA6BE" wp14:editId="553137A1">
            <wp:extent cx="3420000" cy="3420000"/>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costbyyear.png"/>
                    <pic:cNvPicPr/>
                  </pic:nvPicPr>
                  <pic:blipFill>
                    <a:blip r:embed="rId17">
                      <a:extLst>
                        <a:ext uri="{28A0092B-C50C-407E-A947-70E740481C1C}">
                          <a14:useLocalDpi xmlns:a14="http://schemas.microsoft.com/office/drawing/2010/main" val="0"/>
                        </a:ext>
                      </a:extLst>
                    </a:blip>
                    <a:stretch>
                      <a:fillRect/>
                    </a:stretch>
                  </pic:blipFill>
                  <pic:spPr>
                    <a:xfrm>
                      <a:off x="0" y="0"/>
                      <a:ext cx="3420000" cy="3420000"/>
                    </a:xfrm>
                    <a:prstGeom prst="rect">
                      <a:avLst/>
                    </a:prstGeom>
                  </pic:spPr>
                </pic:pic>
              </a:graphicData>
            </a:graphic>
          </wp:inline>
        </w:drawing>
      </w:r>
    </w:p>
    <w:p w14:paraId="01FF128B" w14:textId="5F3C40DF" w:rsidR="00056EB6" w:rsidRDefault="00056EB6" w:rsidP="00056EB6">
      <w:pPr>
        <w:rPr>
          <w:rFonts w:eastAsiaTheme="minorHAnsi" w:cs="Times New Roman"/>
          <w:b/>
          <w:i/>
          <w:lang w:eastAsia="en-US"/>
        </w:rPr>
      </w:pPr>
      <w:r>
        <w:rPr>
          <w:rFonts w:eastAsiaTheme="minorHAnsi" w:cs="Times New Roman"/>
          <w:b/>
          <w:i/>
          <w:lang w:eastAsia="en-US"/>
        </w:rPr>
        <w:t xml:space="preserve">Differences by volumes  </w:t>
      </w:r>
    </w:p>
    <w:p w14:paraId="2F7BDEA3" w14:textId="5E64AF38" w:rsidR="00056EB6" w:rsidRDefault="00C7112C" w:rsidP="00810317">
      <w:pPr>
        <w:rPr>
          <w:rFonts w:eastAsiaTheme="minorHAnsi" w:cs="Times New Roman"/>
          <w:b/>
          <w:lang w:eastAsia="en-US"/>
        </w:rPr>
      </w:pPr>
      <w:r>
        <w:rPr>
          <w:rFonts w:eastAsiaTheme="minorHAnsi" w:cs="Times New Roman"/>
          <w:b/>
          <w:noProof/>
        </w:rPr>
        <w:drawing>
          <wp:inline distT="0" distB="0" distL="0" distR="0" wp14:anchorId="57A2F140" wp14:editId="3BB7B3DA">
            <wp:extent cx="3420000" cy="3420000"/>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ostbyvolume.png"/>
                    <pic:cNvPicPr/>
                  </pic:nvPicPr>
                  <pic:blipFill>
                    <a:blip r:embed="rId18">
                      <a:extLst>
                        <a:ext uri="{28A0092B-C50C-407E-A947-70E740481C1C}">
                          <a14:useLocalDpi xmlns:a14="http://schemas.microsoft.com/office/drawing/2010/main" val="0"/>
                        </a:ext>
                      </a:extLst>
                    </a:blip>
                    <a:stretch>
                      <a:fillRect/>
                    </a:stretch>
                  </pic:blipFill>
                  <pic:spPr>
                    <a:xfrm>
                      <a:off x="0" y="0"/>
                      <a:ext cx="3420000" cy="3420000"/>
                    </a:xfrm>
                    <a:prstGeom prst="rect">
                      <a:avLst/>
                    </a:prstGeom>
                  </pic:spPr>
                </pic:pic>
              </a:graphicData>
            </a:graphic>
          </wp:inline>
        </w:drawing>
      </w:r>
    </w:p>
    <w:p w14:paraId="2BD31E3E" w14:textId="77777777" w:rsidR="00056EB6" w:rsidRDefault="00056EB6" w:rsidP="00810317">
      <w:pPr>
        <w:rPr>
          <w:rFonts w:eastAsiaTheme="minorHAnsi" w:cs="Times New Roman"/>
          <w:b/>
          <w:i/>
          <w:lang w:eastAsia="en-US"/>
        </w:rPr>
      </w:pPr>
    </w:p>
    <w:p w14:paraId="42FB15D8" w14:textId="3359ED8A" w:rsidR="002A4B68" w:rsidRDefault="005D560D" w:rsidP="00810317">
      <w:pPr>
        <w:rPr>
          <w:rFonts w:eastAsiaTheme="minorHAnsi" w:cs="Times New Roman"/>
          <w:b/>
          <w:i/>
          <w:lang w:eastAsia="en-US"/>
        </w:rPr>
      </w:pPr>
      <w:r>
        <w:rPr>
          <w:rFonts w:eastAsiaTheme="minorHAnsi" w:cs="Times New Roman"/>
          <w:b/>
          <w:i/>
          <w:lang w:eastAsia="en-US"/>
        </w:rPr>
        <w:lastRenderedPageBreak/>
        <w:t xml:space="preserve">Differences by age groups  </w:t>
      </w:r>
    </w:p>
    <w:p w14:paraId="40886DC5" w14:textId="5BD45005" w:rsidR="00580C19" w:rsidRPr="00580C19" w:rsidRDefault="00C7112C" w:rsidP="00810317">
      <w:pPr>
        <w:rPr>
          <w:rFonts w:eastAsiaTheme="minorHAnsi" w:cs="Times New Roman"/>
          <w:b/>
          <w:lang w:eastAsia="en-US"/>
        </w:rPr>
      </w:pPr>
      <w:r>
        <w:rPr>
          <w:rFonts w:eastAsiaTheme="minorHAnsi" w:cs="Times New Roman"/>
          <w:b/>
          <w:noProof/>
        </w:rPr>
        <w:drawing>
          <wp:inline distT="0" distB="0" distL="0" distR="0" wp14:anchorId="7B0EC91F" wp14:editId="378A2184">
            <wp:extent cx="3420000" cy="3420000"/>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costbyagegroup.png"/>
                    <pic:cNvPicPr/>
                  </pic:nvPicPr>
                  <pic:blipFill>
                    <a:blip r:embed="rId19">
                      <a:extLst>
                        <a:ext uri="{28A0092B-C50C-407E-A947-70E740481C1C}">
                          <a14:useLocalDpi xmlns:a14="http://schemas.microsoft.com/office/drawing/2010/main" val="0"/>
                        </a:ext>
                      </a:extLst>
                    </a:blip>
                    <a:stretch>
                      <a:fillRect/>
                    </a:stretch>
                  </pic:blipFill>
                  <pic:spPr>
                    <a:xfrm>
                      <a:off x="0" y="0"/>
                      <a:ext cx="3420000" cy="3420000"/>
                    </a:xfrm>
                    <a:prstGeom prst="rect">
                      <a:avLst/>
                    </a:prstGeom>
                  </pic:spPr>
                </pic:pic>
              </a:graphicData>
            </a:graphic>
          </wp:inline>
        </w:drawing>
      </w:r>
    </w:p>
    <w:p w14:paraId="6D4AA27D" w14:textId="77777777" w:rsidR="00E56CAF" w:rsidRDefault="00E56CAF" w:rsidP="00810317">
      <w:pPr>
        <w:rPr>
          <w:rFonts w:eastAsiaTheme="minorHAnsi" w:cs="Times New Roman"/>
          <w:b/>
          <w:i/>
          <w:lang w:eastAsia="en-US"/>
        </w:rPr>
      </w:pPr>
    </w:p>
    <w:p w14:paraId="594835AB" w14:textId="77B1710B" w:rsidR="005D560D" w:rsidRDefault="005D560D" w:rsidP="00810317">
      <w:pPr>
        <w:rPr>
          <w:rFonts w:eastAsiaTheme="minorHAnsi" w:cs="Times New Roman"/>
          <w:b/>
          <w:i/>
          <w:lang w:eastAsia="en-US"/>
        </w:rPr>
      </w:pPr>
      <w:r>
        <w:rPr>
          <w:rFonts w:eastAsiaTheme="minorHAnsi" w:cs="Times New Roman"/>
          <w:b/>
          <w:i/>
          <w:lang w:eastAsia="en-US"/>
        </w:rPr>
        <w:t xml:space="preserve">Differences by in-hospital death outcome </w:t>
      </w:r>
    </w:p>
    <w:p w14:paraId="759D2F46" w14:textId="73147C40" w:rsidR="00605A70" w:rsidRDefault="00C7112C" w:rsidP="00810317">
      <w:pPr>
        <w:rPr>
          <w:rFonts w:eastAsiaTheme="minorHAnsi" w:cs="Times New Roman"/>
          <w:b/>
          <w:lang w:eastAsia="en-US"/>
        </w:rPr>
      </w:pPr>
      <w:r>
        <w:rPr>
          <w:rFonts w:eastAsiaTheme="minorHAnsi" w:cs="Times New Roman"/>
          <w:b/>
          <w:noProof/>
        </w:rPr>
        <w:drawing>
          <wp:inline distT="0" distB="0" distL="0" distR="0" wp14:anchorId="73EF88C6" wp14:editId="7963486F">
            <wp:extent cx="3420000" cy="3420000"/>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stbyinhospdeath.png"/>
                    <pic:cNvPicPr/>
                  </pic:nvPicPr>
                  <pic:blipFill>
                    <a:blip r:embed="rId20">
                      <a:extLst>
                        <a:ext uri="{28A0092B-C50C-407E-A947-70E740481C1C}">
                          <a14:useLocalDpi xmlns:a14="http://schemas.microsoft.com/office/drawing/2010/main" val="0"/>
                        </a:ext>
                      </a:extLst>
                    </a:blip>
                    <a:stretch>
                      <a:fillRect/>
                    </a:stretch>
                  </pic:blipFill>
                  <pic:spPr>
                    <a:xfrm>
                      <a:off x="0" y="0"/>
                      <a:ext cx="3420000" cy="3420000"/>
                    </a:xfrm>
                    <a:prstGeom prst="rect">
                      <a:avLst/>
                    </a:prstGeom>
                  </pic:spPr>
                </pic:pic>
              </a:graphicData>
            </a:graphic>
          </wp:inline>
        </w:drawing>
      </w:r>
    </w:p>
    <w:p w14:paraId="745D9C4C" w14:textId="77777777" w:rsidR="00605A70" w:rsidRDefault="00605A70" w:rsidP="00605A70">
      <w:pPr>
        <w:rPr>
          <w:rFonts w:eastAsiaTheme="minorHAnsi" w:cs="Times New Roman"/>
          <w:b/>
          <w:i/>
          <w:lang w:eastAsia="en-US"/>
        </w:rPr>
      </w:pPr>
      <w:r>
        <w:rPr>
          <w:rFonts w:eastAsiaTheme="minorHAnsi" w:cs="Times New Roman"/>
          <w:b/>
          <w:i/>
          <w:lang w:eastAsia="en-US"/>
        </w:rPr>
        <w:t>Differences by gender</w:t>
      </w:r>
    </w:p>
    <w:p w14:paraId="16931D0E" w14:textId="4FA25113" w:rsidR="00605A70" w:rsidRDefault="00C7112C" w:rsidP="00810317">
      <w:pPr>
        <w:rPr>
          <w:rFonts w:eastAsiaTheme="minorHAnsi" w:cs="Times New Roman"/>
          <w:b/>
          <w:i/>
          <w:lang w:eastAsia="en-US"/>
        </w:rPr>
      </w:pPr>
      <w:r>
        <w:rPr>
          <w:rFonts w:eastAsiaTheme="minorHAnsi" w:cs="Times New Roman"/>
          <w:b/>
          <w:i/>
          <w:noProof/>
        </w:rPr>
        <w:lastRenderedPageBreak/>
        <w:drawing>
          <wp:inline distT="0" distB="0" distL="0" distR="0" wp14:anchorId="210D298F" wp14:editId="05326C58">
            <wp:extent cx="3420000" cy="3420000"/>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costbygender.png"/>
                    <pic:cNvPicPr/>
                  </pic:nvPicPr>
                  <pic:blipFill>
                    <a:blip r:embed="rId21">
                      <a:extLst>
                        <a:ext uri="{28A0092B-C50C-407E-A947-70E740481C1C}">
                          <a14:useLocalDpi xmlns:a14="http://schemas.microsoft.com/office/drawing/2010/main" val="0"/>
                        </a:ext>
                      </a:extLst>
                    </a:blip>
                    <a:stretch>
                      <a:fillRect/>
                    </a:stretch>
                  </pic:blipFill>
                  <pic:spPr>
                    <a:xfrm>
                      <a:off x="0" y="0"/>
                      <a:ext cx="3420000" cy="3420000"/>
                    </a:xfrm>
                    <a:prstGeom prst="rect">
                      <a:avLst/>
                    </a:prstGeom>
                  </pic:spPr>
                </pic:pic>
              </a:graphicData>
            </a:graphic>
          </wp:inline>
        </w:drawing>
      </w:r>
    </w:p>
    <w:p w14:paraId="355D9EDB" w14:textId="77777777" w:rsidR="00EC6B02" w:rsidRDefault="00EC6B02" w:rsidP="00810317">
      <w:pPr>
        <w:rPr>
          <w:rFonts w:eastAsiaTheme="minorHAnsi" w:cs="Times New Roman"/>
          <w:b/>
          <w:i/>
          <w:lang w:eastAsia="en-US"/>
        </w:rPr>
      </w:pPr>
    </w:p>
    <w:p w14:paraId="0409CBAC" w14:textId="75AAD295" w:rsidR="00ED1272" w:rsidRDefault="005D560D" w:rsidP="00810317">
      <w:pPr>
        <w:rPr>
          <w:rFonts w:eastAsiaTheme="minorHAnsi" w:cs="Times New Roman"/>
          <w:b/>
          <w:i/>
          <w:lang w:eastAsia="en-US"/>
        </w:rPr>
      </w:pPr>
      <w:r>
        <w:rPr>
          <w:rFonts w:eastAsiaTheme="minorHAnsi" w:cs="Times New Roman"/>
          <w:b/>
          <w:i/>
          <w:lang w:eastAsia="en-US"/>
        </w:rPr>
        <w:t>Differences by IMD groups</w:t>
      </w:r>
    </w:p>
    <w:p w14:paraId="1FE93045" w14:textId="0A81D185" w:rsidR="005D560D" w:rsidRDefault="00C7112C" w:rsidP="00810317">
      <w:pPr>
        <w:rPr>
          <w:rFonts w:eastAsiaTheme="minorHAnsi" w:cs="Times New Roman"/>
          <w:b/>
          <w:i/>
          <w:lang w:eastAsia="en-US"/>
        </w:rPr>
      </w:pPr>
      <w:r>
        <w:rPr>
          <w:rFonts w:eastAsiaTheme="minorHAnsi" w:cs="Times New Roman"/>
          <w:b/>
          <w:i/>
          <w:noProof/>
        </w:rPr>
        <w:drawing>
          <wp:inline distT="0" distB="0" distL="0" distR="0" wp14:anchorId="314F867A" wp14:editId="10E4634D">
            <wp:extent cx="3420000" cy="3420000"/>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costbyimdgroup.png"/>
                    <pic:cNvPicPr/>
                  </pic:nvPicPr>
                  <pic:blipFill>
                    <a:blip r:embed="rId22">
                      <a:extLst>
                        <a:ext uri="{28A0092B-C50C-407E-A947-70E740481C1C}">
                          <a14:useLocalDpi xmlns:a14="http://schemas.microsoft.com/office/drawing/2010/main" val="0"/>
                        </a:ext>
                      </a:extLst>
                    </a:blip>
                    <a:stretch>
                      <a:fillRect/>
                    </a:stretch>
                  </pic:blipFill>
                  <pic:spPr>
                    <a:xfrm>
                      <a:off x="0" y="0"/>
                      <a:ext cx="3420000" cy="3420000"/>
                    </a:xfrm>
                    <a:prstGeom prst="rect">
                      <a:avLst/>
                    </a:prstGeom>
                  </pic:spPr>
                </pic:pic>
              </a:graphicData>
            </a:graphic>
          </wp:inline>
        </w:drawing>
      </w:r>
      <w:r w:rsidR="005D560D">
        <w:rPr>
          <w:rFonts w:eastAsiaTheme="minorHAnsi" w:cs="Times New Roman"/>
          <w:b/>
          <w:i/>
          <w:lang w:eastAsia="en-US"/>
        </w:rPr>
        <w:t xml:space="preserve"> </w:t>
      </w:r>
    </w:p>
    <w:p w14:paraId="70CBA91F" w14:textId="77777777" w:rsidR="00EC6B02" w:rsidRDefault="00EC6B02" w:rsidP="00810317">
      <w:pPr>
        <w:rPr>
          <w:rFonts w:eastAsiaTheme="minorHAnsi" w:cs="Times New Roman"/>
          <w:b/>
          <w:i/>
          <w:lang w:eastAsia="en-US"/>
        </w:rPr>
      </w:pPr>
    </w:p>
    <w:p w14:paraId="5E887E7D" w14:textId="5F198336" w:rsidR="005D560D" w:rsidRDefault="005D560D" w:rsidP="00810317">
      <w:pPr>
        <w:rPr>
          <w:rFonts w:eastAsiaTheme="minorHAnsi" w:cs="Times New Roman"/>
          <w:b/>
          <w:i/>
          <w:lang w:eastAsia="en-US"/>
        </w:rPr>
      </w:pPr>
      <w:r>
        <w:rPr>
          <w:rFonts w:eastAsiaTheme="minorHAnsi" w:cs="Times New Roman"/>
          <w:b/>
          <w:i/>
          <w:lang w:eastAsia="en-US"/>
        </w:rPr>
        <w:t xml:space="preserve">Differences by travel distance </w:t>
      </w:r>
    </w:p>
    <w:p w14:paraId="115ABF9D" w14:textId="42C56F7D" w:rsidR="00ED1272" w:rsidRPr="00ED1272" w:rsidRDefault="00C7112C" w:rsidP="00810317">
      <w:pPr>
        <w:rPr>
          <w:rFonts w:eastAsiaTheme="minorHAnsi" w:cs="Times New Roman"/>
          <w:lang w:eastAsia="en-US"/>
        </w:rPr>
      </w:pPr>
      <w:r>
        <w:rPr>
          <w:rFonts w:eastAsiaTheme="minorHAnsi" w:cs="Times New Roman"/>
          <w:noProof/>
        </w:rPr>
        <w:lastRenderedPageBreak/>
        <w:drawing>
          <wp:inline distT="0" distB="0" distL="0" distR="0" wp14:anchorId="2B52F1FE" wp14:editId="57952EF3">
            <wp:extent cx="3420000" cy="3420000"/>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costbytravel.png"/>
                    <pic:cNvPicPr/>
                  </pic:nvPicPr>
                  <pic:blipFill>
                    <a:blip r:embed="rId23">
                      <a:extLst>
                        <a:ext uri="{28A0092B-C50C-407E-A947-70E740481C1C}">
                          <a14:useLocalDpi xmlns:a14="http://schemas.microsoft.com/office/drawing/2010/main" val="0"/>
                        </a:ext>
                      </a:extLst>
                    </a:blip>
                    <a:stretch>
                      <a:fillRect/>
                    </a:stretch>
                  </pic:blipFill>
                  <pic:spPr>
                    <a:xfrm>
                      <a:off x="0" y="0"/>
                      <a:ext cx="3420000" cy="3420000"/>
                    </a:xfrm>
                    <a:prstGeom prst="rect">
                      <a:avLst/>
                    </a:prstGeom>
                  </pic:spPr>
                </pic:pic>
              </a:graphicData>
            </a:graphic>
          </wp:inline>
        </w:drawing>
      </w:r>
    </w:p>
    <w:p w14:paraId="1B505FA1" w14:textId="77777777" w:rsidR="008A7D65" w:rsidRDefault="008A7D65" w:rsidP="00810317">
      <w:pPr>
        <w:rPr>
          <w:rFonts w:eastAsiaTheme="minorHAnsi" w:cs="Times New Roman"/>
          <w:b/>
          <w:i/>
          <w:lang w:eastAsia="en-US"/>
        </w:rPr>
      </w:pPr>
    </w:p>
    <w:p w14:paraId="1DD61E60" w14:textId="1EAAD8EB" w:rsidR="005D560D" w:rsidRDefault="005D560D" w:rsidP="00810317">
      <w:pPr>
        <w:rPr>
          <w:rFonts w:eastAsiaTheme="minorHAnsi" w:cs="Times New Roman"/>
          <w:b/>
          <w:i/>
          <w:lang w:eastAsia="en-US"/>
        </w:rPr>
      </w:pPr>
      <w:r>
        <w:rPr>
          <w:rFonts w:eastAsiaTheme="minorHAnsi" w:cs="Times New Roman"/>
          <w:b/>
          <w:i/>
          <w:lang w:eastAsia="en-US"/>
        </w:rPr>
        <w:t xml:space="preserve">Differences by urban and rural </w:t>
      </w:r>
    </w:p>
    <w:p w14:paraId="5BC577B9" w14:textId="6CBB9FB6" w:rsidR="008A7D65" w:rsidRPr="008A7D65" w:rsidRDefault="00C7112C" w:rsidP="00810317">
      <w:pPr>
        <w:rPr>
          <w:rFonts w:eastAsiaTheme="minorHAnsi" w:cs="Times New Roman"/>
          <w:lang w:eastAsia="en-US"/>
        </w:rPr>
      </w:pPr>
      <w:r>
        <w:rPr>
          <w:rFonts w:eastAsiaTheme="minorHAnsi" w:cs="Times New Roman"/>
          <w:noProof/>
        </w:rPr>
        <w:drawing>
          <wp:inline distT="0" distB="0" distL="0" distR="0" wp14:anchorId="74EAF83C" wp14:editId="50E2A69F">
            <wp:extent cx="3420000" cy="3420000"/>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costbyurbanrural.png"/>
                    <pic:cNvPicPr/>
                  </pic:nvPicPr>
                  <pic:blipFill>
                    <a:blip r:embed="rId24">
                      <a:extLst>
                        <a:ext uri="{28A0092B-C50C-407E-A947-70E740481C1C}">
                          <a14:useLocalDpi xmlns:a14="http://schemas.microsoft.com/office/drawing/2010/main" val="0"/>
                        </a:ext>
                      </a:extLst>
                    </a:blip>
                    <a:stretch>
                      <a:fillRect/>
                    </a:stretch>
                  </pic:blipFill>
                  <pic:spPr>
                    <a:xfrm>
                      <a:off x="0" y="0"/>
                      <a:ext cx="3420000" cy="3420000"/>
                    </a:xfrm>
                    <a:prstGeom prst="rect">
                      <a:avLst/>
                    </a:prstGeom>
                  </pic:spPr>
                </pic:pic>
              </a:graphicData>
            </a:graphic>
          </wp:inline>
        </w:drawing>
      </w:r>
    </w:p>
    <w:p w14:paraId="42930D54" w14:textId="77777777" w:rsidR="00EC6B02" w:rsidRDefault="00EC6B02" w:rsidP="00810317">
      <w:pPr>
        <w:rPr>
          <w:rFonts w:eastAsiaTheme="minorHAnsi" w:cs="Times New Roman"/>
          <w:b/>
          <w:i/>
          <w:lang w:eastAsia="en-US"/>
        </w:rPr>
      </w:pPr>
    </w:p>
    <w:p w14:paraId="6D5A8EFF" w14:textId="00C5E29B" w:rsidR="005D560D" w:rsidRDefault="005D560D" w:rsidP="00810317">
      <w:pPr>
        <w:rPr>
          <w:rFonts w:eastAsiaTheme="minorHAnsi" w:cs="Times New Roman"/>
          <w:b/>
          <w:i/>
          <w:lang w:eastAsia="en-US"/>
        </w:rPr>
      </w:pPr>
      <w:r>
        <w:rPr>
          <w:rFonts w:eastAsiaTheme="minorHAnsi" w:cs="Times New Roman"/>
          <w:b/>
          <w:i/>
          <w:lang w:eastAsia="en-US"/>
        </w:rPr>
        <w:t xml:space="preserve">Differences by Market Forces Factor Index </w:t>
      </w:r>
    </w:p>
    <w:p w14:paraId="4047BD59" w14:textId="447F421F" w:rsidR="008A7D65" w:rsidRPr="008A7D65" w:rsidRDefault="00C7112C" w:rsidP="00810317">
      <w:pPr>
        <w:rPr>
          <w:rFonts w:eastAsiaTheme="minorHAnsi" w:cs="Times New Roman"/>
          <w:b/>
          <w:i/>
          <w:u w:val="single"/>
          <w:lang w:eastAsia="en-US"/>
        </w:rPr>
      </w:pPr>
      <w:r>
        <w:rPr>
          <w:rFonts w:eastAsiaTheme="minorHAnsi" w:cs="Times New Roman"/>
          <w:b/>
          <w:i/>
          <w:noProof/>
          <w:u w:val="single"/>
        </w:rPr>
        <w:lastRenderedPageBreak/>
        <w:drawing>
          <wp:inline distT="0" distB="0" distL="0" distR="0" wp14:anchorId="611888E9" wp14:editId="37E1B045">
            <wp:extent cx="3420000" cy="3420000"/>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costbyMFF.png"/>
                    <pic:cNvPicPr/>
                  </pic:nvPicPr>
                  <pic:blipFill>
                    <a:blip r:embed="rId25">
                      <a:extLst>
                        <a:ext uri="{28A0092B-C50C-407E-A947-70E740481C1C}">
                          <a14:useLocalDpi xmlns:a14="http://schemas.microsoft.com/office/drawing/2010/main" val="0"/>
                        </a:ext>
                      </a:extLst>
                    </a:blip>
                    <a:stretch>
                      <a:fillRect/>
                    </a:stretch>
                  </pic:blipFill>
                  <pic:spPr>
                    <a:xfrm>
                      <a:off x="0" y="0"/>
                      <a:ext cx="3420000" cy="3420000"/>
                    </a:xfrm>
                    <a:prstGeom prst="rect">
                      <a:avLst/>
                    </a:prstGeom>
                  </pic:spPr>
                </pic:pic>
              </a:graphicData>
            </a:graphic>
          </wp:inline>
        </w:drawing>
      </w:r>
    </w:p>
    <w:p w14:paraId="3F74682A" w14:textId="77777777" w:rsidR="008A7D65" w:rsidRDefault="008A7D65" w:rsidP="00810317">
      <w:pPr>
        <w:rPr>
          <w:rFonts w:eastAsiaTheme="minorHAnsi" w:cs="Times New Roman"/>
          <w:b/>
          <w:i/>
          <w:lang w:eastAsia="en-US"/>
        </w:rPr>
      </w:pPr>
    </w:p>
    <w:p w14:paraId="6B9E442A" w14:textId="654933B6" w:rsidR="00810317" w:rsidRPr="0067302F" w:rsidRDefault="005D560D" w:rsidP="00810317">
      <w:pPr>
        <w:rPr>
          <w:rFonts w:eastAsiaTheme="minorHAnsi" w:cs="Times New Roman"/>
          <w:b/>
          <w:lang w:eastAsia="en-US"/>
        </w:rPr>
      </w:pPr>
      <w:r>
        <w:rPr>
          <w:rFonts w:eastAsiaTheme="minorHAnsi" w:cs="Times New Roman"/>
          <w:b/>
          <w:i/>
          <w:lang w:eastAsia="en-US"/>
        </w:rPr>
        <w:t xml:space="preserve">Differences by the presence of comorbidities </w:t>
      </w:r>
      <w:r w:rsidR="0067302F">
        <w:rPr>
          <w:rFonts w:eastAsiaTheme="minorHAnsi" w:cs="Times New Roman"/>
          <w:b/>
          <w:lang w:eastAsia="en-US"/>
        </w:rPr>
        <w:t>(15 groups)</w:t>
      </w:r>
    </w:p>
    <w:p w14:paraId="36C09380" w14:textId="3A703C63" w:rsidR="005D560D" w:rsidRDefault="00C7112C" w:rsidP="00810317">
      <w:pPr>
        <w:rPr>
          <w:rFonts w:eastAsiaTheme="minorHAnsi" w:cs="Times New Roman"/>
          <w:lang w:eastAsia="en-US"/>
        </w:rPr>
      </w:pPr>
      <w:r>
        <w:rPr>
          <w:rFonts w:eastAsiaTheme="minorHAnsi" w:cs="Times New Roman"/>
          <w:noProof/>
        </w:rPr>
        <w:drawing>
          <wp:inline distT="0" distB="0" distL="0" distR="0" wp14:anchorId="01BB406D" wp14:editId="1663EC9A">
            <wp:extent cx="2520000" cy="25200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costco1.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520000" cy="2520000"/>
                    </a:xfrm>
                    <a:prstGeom prst="rect">
                      <a:avLst/>
                    </a:prstGeom>
                  </pic:spPr>
                </pic:pic>
              </a:graphicData>
            </a:graphic>
          </wp:inline>
        </w:drawing>
      </w:r>
      <w:r>
        <w:rPr>
          <w:rFonts w:eastAsiaTheme="minorHAnsi" w:cs="Times New Roman"/>
          <w:noProof/>
        </w:rPr>
        <w:drawing>
          <wp:inline distT="0" distB="0" distL="0" distR="0" wp14:anchorId="7EC97FC6" wp14:editId="24363496">
            <wp:extent cx="2520000" cy="25200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ostco2.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520000" cy="2520000"/>
                    </a:xfrm>
                    <a:prstGeom prst="rect">
                      <a:avLst/>
                    </a:prstGeom>
                  </pic:spPr>
                </pic:pic>
              </a:graphicData>
            </a:graphic>
          </wp:inline>
        </w:drawing>
      </w:r>
    </w:p>
    <w:p w14:paraId="16DF268D" w14:textId="4647C889" w:rsidR="002B6DD1" w:rsidRDefault="00C7112C" w:rsidP="00810317">
      <w:pPr>
        <w:rPr>
          <w:rFonts w:eastAsiaTheme="minorHAnsi" w:cs="Times New Roman"/>
          <w:lang w:eastAsia="en-US"/>
        </w:rPr>
      </w:pPr>
      <w:r>
        <w:rPr>
          <w:rFonts w:eastAsiaTheme="minorHAnsi" w:cs="Times New Roman"/>
          <w:noProof/>
        </w:rPr>
        <w:lastRenderedPageBreak/>
        <w:drawing>
          <wp:inline distT="0" distB="0" distL="0" distR="0" wp14:anchorId="4CEAA208" wp14:editId="4F516944">
            <wp:extent cx="2520000" cy="25200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costco3.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520000" cy="2520000"/>
                    </a:xfrm>
                    <a:prstGeom prst="rect">
                      <a:avLst/>
                    </a:prstGeom>
                  </pic:spPr>
                </pic:pic>
              </a:graphicData>
            </a:graphic>
          </wp:inline>
        </w:drawing>
      </w:r>
      <w:r>
        <w:rPr>
          <w:rFonts w:eastAsiaTheme="minorHAnsi" w:cs="Times New Roman"/>
          <w:noProof/>
        </w:rPr>
        <w:drawing>
          <wp:inline distT="0" distB="0" distL="0" distR="0" wp14:anchorId="4AE501D1" wp14:editId="73116CA4">
            <wp:extent cx="2520000" cy="25200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costco4.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520000" cy="2520000"/>
                    </a:xfrm>
                    <a:prstGeom prst="rect">
                      <a:avLst/>
                    </a:prstGeom>
                  </pic:spPr>
                </pic:pic>
              </a:graphicData>
            </a:graphic>
          </wp:inline>
        </w:drawing>
      </w:r>
    </w:p>
    <w:p w14:paraId="6CA2B548" w14:textId="42C186CF" w:rsidR="002B6DD1" w:rsidRDefault="002B6DD1" w:rsidP="00810317">
      <w:pPr>
        <w:rPr>
          <w:rFonts w:eastAsiaTheme="minorHAnsi" w:cs="Times New Roman"/>
          <w:lang w:eastAsia="en-US"/>
        </w:rPr>
      </w:pPr>
    </w:p>
    <w:p w14:paraId="121AFE28" w14:textId="6325A877" w:rsidR="002B6DD1" w:rsidRDefault="00C7112C" w:rsidP="00810317">
      <w:pPr>
        <w:rPr>
          <w:rFonts w:eastAsiaTheme="minorHAnsi" w:cs="Times New Roman"/>
          <w:lang w:eastAsia="en-US"/>
        </w:rPr>
      </w:pPr>
      <w:r>
        <w:rPr>
          <w:rFonts w:eastAsiaTheme="minorHAnsi" w:cs="Times New Roman"/>
          <w:noProof/>
        </w:rPr>
        <w:drawing>
          <wp:inline distT="0" distB="0" distL="0" distR="0" wp14:anchorId="3629551E" wp14:editId="63EC2C66">
            <wp:extent cx="2520000" cy="25200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costco5.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520000" cy="2520000"/>
                    </a:xfrm>
                    <a:prstGeom prst="rect">
                      <a:avLst/>
                    </a:prstGeom>
                  </pic:spPr>
                </pic:pic>
              </a:graphicData>
            </a:graphic>
          </wp:inline>
        </w:drawing>
      </w:r>
      <w:r>
        <w:rPr>
          <w:rFonts w:eastAsiaTheme="minorHAnsi" w:cs="Times New Roman"/>
          <w:noProof/>
        </w:rPr>
        <w:drawing>
          <wp:inline distT="0" distB="0" distL="0" distR="0" wp14:anchorId="36BCC4A2" wp14:editId="26D9EE70">
            <wp:extent cx="2520000" cy="25200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costco6.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520000" cy="2520000"/>
                    </a:xfrm>
                    <a:prstGeom prst="rect">
                      <a:avLst/>
                    </a:prstGeom>
                  </pic:spPr>
                </pic:pic>
              </a:graphicData>
            </a:graphic>
          </wp:inline>
        </w:drawing>
      </w:r>
    </w:p>
    <w:p w14:paraId="413731C0" w14:textId="236E4E7D" w:rsidR="002B6DD1" w:rsidRDefault="002B6DD1" w:rsidP="00810317">
      <w:pPr>
        <w:rPr>
          <w:rFonts w:eastAsiaTheme="minorHAnsi" w:cs="Times New Roman"/>
          <w:lang w:eastAsia="en-US"/>
        </w:rPr>
      </w:pPr>
    </w:p>
    <w:p w14:paraId="65D96CF2" w14:textId="6334477C" w:rsidR="002B6DD1" w:rsidRDefault="00C7112C" w:rsidP="00810317">
      <w:pPr>
        <w:rPr>
          <w:rFonts w:eastAsiaTheme="minorHAnsi" w:cs="Times New Roman"/>
          <w:lang w:eastAsia="en-US"/>
        </w:rPr>
      </w:pPr>
      <w:r>
        <w:rPr>
          <w:rFonts w:eastAsiaTheme="minorHAnsi" w:cs="Times New Roman"/>
          <w:noProof/>
        </w:rPr>
        <w:drawing>
          <wp:inline distT="0" distB="0" distL="0" distR="0" wp14:anchorId="17E64A96" wp14:editId="74489FFD">
            <wp:extent cx="2520000" cy="25200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costco7.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520000" cy="2520000"/>
                    </a:xfrm>
                    <a:prstGeom prst="rect">
                      <a:avLst/>
                    </a:prstGeom>
                  </pic:spPr>
                </pic:pic>
              </a:graphicData>
            </a:graphic>
          </wp:inline>
        </w:drawing>
      </w:r>
      <w:r>
        <w:rPr>
          <w:rFonts w:eastAsiaTheme="minorHAnsi" w:cs="Times New Roman"/>
          <w:noProof/>
        </w:rPr>
        <w:drawing>
          <wp:inline distT="0" distB="0" distL="0" distR="0" wp14:anchorId="67A74739" wp14:editId="634FA26B">
            <wp:extent cx="2520000" cy="25200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costco8.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520000" cy="2520000"/>
                    </a:xfrm>
                    <a:prstGeom prst="rect">
                      <a:avLst/>
                    </a:prstGeom>
                  </pic:spPr>
                </pic:pic>
              </a:graphicData>
            </a:graphic>
          </wp:inline>
        </w:drawing>
      </w:r>
    </w:p>
    <w:p w14:paraId="16CD8E01" w14:textId="68D1196A" w:rsidR="002B6DD1" w:rsidRDefault="00C7112C" w:rsidP="00810317">
      <w:pPr>
        <w:rPr>
          <w:rFonts w:eastAsiaTheme="minorHAnsi" w:cs="Times New Roman"/>
          <w:lang w:eastAsia="en-US"/>
        </w:rPr>
      </w:pPr>
      <w:r>
        <w:rPr>
          <w:rFonts w:eastAsiaTheme="minorHAnsi" w:cs="Times New Roman"/>
          <w:noProof/>
        </w:rPr>
        <w:lastRenderedPageBreak/>
        <w:drawing>
          <wp:inline distT="0" distB="0" distL="0" distR="0" wp14:anchorId="6FE12D4B" wp14:editId="75ABD75A">
            <wp:extent cx="2520000" cy="25200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costco9.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520000" cy="2520000"/>
                    </a:xfrm>
                    <a:prstGeom prst="rect">
                      <a:avLst/>
                    </a:prstGeom>
                  </pic:spPr>
                </pic:pic>
              </a:graphicData>
            </a:graphic>
          </wp:inline>
        </w:drawing>
      </w:r>
      <w:r>
        <w:rPr>
          <w:rFonts w:eastAsiaTheme="minorHAnsi" w:cs="Times New Roman"/>
          <w:noProof/>
        </w:rPr>
        <w:drawing>
          <wp:inline distT="0" distB="0" distL="0" distR="0" wp14:anchorId="38C8D492" wp14:editId="169F0F09">
            <wp:extent cx="2520000" cy="25200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costco10.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520000" cy="2520000"/>
                    </a:xfrm>
                    <a:prstGeom prst="rect">
                      <a:avLst/>
                    </a:prstGeom>
                  </pic:spPr>
                </pic:pic>
              </a:graphicData>
            </a:graphic>
          </wp:inline>
        </w:drawing>
      </w:r>
    </w:p>
    <w:p w14:paraId="6EDA3F25" w14:textId="6A8B580B" w:rsidR="0067302F" w:rsidRDefault="0067302F" w:rsidP="00810317">
      <w:pPr>
        <w:rPr>
          <w:rFonts w:eastAsiaTheme="minorHAnsi" w:cs="Times New Roman"/>
          <w:lang w:eastAsia="en-US"/>
        </w:rPr>
      </w:pPr>
    </w:p>
    <w:p w14:paraId="4A147175" w14:textId="3484A95D" w:rsidR="0067302F" w:rsidRDefault="00C7112C" w:rsidP="00810317">
      <w:pPr>
        <w:rPr>
          <w:rFonts w:eastAsiaTheme="minorHAnsi" w:cs="Times New Roman"/>
          <w:lang w:eastAsia="en-US"/>
        </w:rPr>
      </w:pPr>
      <w:r>
        <w:rPr>
          <w:rFonts w:eastAsiaTheme="minorHAnsi" w:cs="Times New Roman"/>
          <w:noProof/>
        </w:rPr>
        <w:drawing>
          <wp:inline distT="0" distB="0" distL="0" distR="0" wp14:anchorId="5F2A682D" wp14:editId="4D1D184E">
            <wp:extent cx="2520000" cy="25200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ostco11.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520000" cy="2520000"/>
                    </a:xfrm>
                    <a:prstGeom prst="rect">
                      <a:avLst/>
                    </a:prstGeom>
                  </pic:spPr>
                </pic:pic>
              </a:graphicData>
            </a:graphic>
          </wp:inline>
        </w:drawing>
      </w:r>
      <w:r>
        <w:rPr>
          <w:rFonts w:eastAsiaTheme="minorHAnsi" w:cs="Times New Roman"/>
          <w:noProof/>
        </w:rPr>
        <w:drawing>
          <wp:inline distT="0" distB="0" distL="0" distR="0" wp14:anchorId="6062312C" wp14:editId="57401F9A">
            <wp:extent cx="2520000" cy="25200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costco12.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520000" cy="2520000"/>
                    </a:xfrm>
                    <a:prstGeom prst="rect">
                      <a:avLst/>
                    </a:prstGeom>
                  </pic:spPr>
                </pic:pic>
              </a:graphicData>
            </a:graphic>
          </wp:inline>
        </w:drawing>
      </w:r>
    </w:p>
    <w:p w14:paraId="13B894C5" w14:textId="0B658EC6" w:rsidR="0067302F" w:rsidRDefault="00C7112C" w:rsidP="00810317">
      <w:pPr>
        <w:rPr>
          <w:rFonts w:eastAsiaTheme="minorHAnsi" w:cs="Times New Roman"/>
          <w:lang w:eastAsia="en-US"/>
        </w:rPr>
      </w:pPr>
      <w:r>
        <w:rPr>
          <w:rFonts w:eastAsiaTheme="minorHAnsi" w:cs="Times New Roman"/>
          <w:noProof/>
        </w:rPr>
        <w:drawing>
          <wp:inline distT="0" distB="0" distL="0" distR="0" wp14:anchorId="7F672605" wp14:editId="343EECEC">
            <wp:extent cx="2520000" cy="25200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costco13.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520000" cy="2520000"/>
                    </a:xfrm>
                    <a:prstGeom prst="rect">
                      <a:avLst/>
                    </a:prstGeom>
                  </pic:spPr>
                </pic:pic>
              </a:graphicData>
            </a:graphic>
          </wp:inline>
        </w:drawing>
      </w:r>
      <w:r>
        <w:rPr>
          <w:rFonts w:eastAsiaTheme="minorHAnsi" w:cs="Times New Roman"/>
          <w:noProof/>
        </w:rPr>
        <w:drawing>
          <wp:inline distT="0" distB="0" distL="0" distR="0" wp14:anchorId="7E09491E" wp14:editId="13A7AC19">
            <wp:extent cx="2520000" cy="25200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costco14.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520000" cy="2520000"/>
                    </a:xfrm>
                    <a:prstGeom prst="rect">
                      <a:avLst/>
                    </a:prstGeom>
                  </pic:spPr>
                </pic:pic>
              </a:graphicData>
            </a:graphic>
          </wp:inline>
        </w:drawing>
      </w:r>
    </w:p>
    <w:p w14:paraId="5222FC26" w14:textId="49F6DC93" w:rsidR="00C7112C" w:rsidRDefault="00C7112C" w:rsidP="00810317">
      <w:pPr>
        <w:rPr>
          <w:rFonts w:eastAsiaTheme="minorHAnsi" w:cs="Times New Roman"/>
          <w:lang w:eastAsia="en-US"/>
        </w:rPr>
      </w:pPr>
    </w:p>
    <w:p w14:paraId="1E78D7A9" w14:textId="2D4B0C20" w:rsidR="00C7112C" w:rsidRDefault="00C7112C" w:rsidP="00810317">
      <w:pPr>
        <w:rPr>
          <w:rFonts w:eastAsiaTheme="minorHAnsi" w:cs="Times New Roman"/>
          <w:lang w:eastAsia="en-US"/>
        </w:rPr>
      </w:pPr>
      <w:r>
        <w:rPr>
          <w:rFonts w:eastAsiaTheme="minorHAnsi" w:cs="Times New Roman"/>
          <w:noProof/>
        </w:rPr>
        <w:lastRenderedPageBreak/>
        <w:drawing>
          <wp:inline distT="0" distB="0" distL="0" distR="0" wp14:anchorId="331CFF71" wp14:editId="0E8CD738">
            <wp:extent cx="2520000" cy="25200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costco15.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520000" cy="2520000"/>
                    </a:xfrm>
                    <a:prstGeom prst="rect">
                      <a:avLst/>
                    </a:prstGeom>
                  </pic:spPr>
                </pic:pic>
              </a:graphicData>
            </a:graphic>
          </wp:inline>
        </w:drawing>
      </w:r>
    </w:p>
    <w:p w14:paraId="525EA1B1" w14:textId="2F507A66" w:rsidR="0067302F" w:rsidRDefault="0067302F" w:rsidP="00810317">
      <w:pPr>
        <w:rPr>
          <w:rFonts w:eastAsiaTheme="minorHAnsi" w:cs="Times New Roman"/>
          <w:lang w:eastAsia="en-US"/>
        </w:rPr>
      </w:pPr>
    </w:p>
    <w:p w14:paraId="75EB2681" w14:textId="301CB751" w:rsidR="0067302F" w:rsidRDefault="0067302F" w:rsidP="00810317">
      <w:pPr>
        <w:rPr>
          <w:rFonts w:eastAsiaTheme="minorHAnsi" w:cs="Times New Roman"/>
          <w:lang w:eastAsia="en-US"/>
        </w:rPr>
      </w:pPr>
    </w:p>
    <w:p w14:paraId="6FA42388" w14:textId="1B60932A" w:rsidR="007D4850" w:rsidRPr="004F606E" w:rsidRDefault="002A4B68" w:rsidP="00EC6B02">
      <w:pPr>
        <w:pStyle w:val="Heading2"/>
        <w:numPr>
          <w:ilvl w:val="0"/>
          <w:numId w:val="0"/>
        </w:numPr>
        <w:ind w:left="576" w:hanging="576"/>
        <w:rPr>
          <w:lang w:eastAsia="en-US"/>
        </w:rPr>
      </w:pPr>
      <w:r>
        <w:rPr>
          <w:lang w:eastAsia="en-US"/>
        </w:rPr>
        <w:t xml:space="preserve">Multiple </w:t>
      </w:r>
      <w:r w:rsidR="007D4850">
        <w:rPr>
          <w:lang w:eastAsia="en-US"/>
        </w:rPr>
        <w:t xml:space="preserve">Regression Models </w:t>
      </w:r>
    </w:p>
    <w:p w14:paraId="038281DB" w14:textId="014BA676" w:rsidR="00D615F9" w:rsidRDefault="00EC6B02" w:rsidP="00EC6B02">
      <w:pPr>
        <w:rPr>
          <w:rFonts w:eastAsiaTheme="minorHAnsi" w:cs="Times New Roman"/>
          <w:lang w:eastAsia="en-US"/>
        </w:rPr>
      </w:pPr>
      <w:r>
        <w:rPr>
          <w:rFonts w:eastAsiaTheme="minorHAnsi" w:cs="Times New Roman"/>
          <w:lang w:eastAsia="en-US"/>
        </w:rPr>
        <w:t>The results of univariate analyses suggested that it is necessary to fit separate models for different clinical groups. Tables below</w:t>
      </w:r>
      <w:r w:rsidR="00D615F9">
        <w:rPr>
          <w:rFonts w:eastAsiaTheme="minorHAnsi" w:cs="Times New Roman"/>
          <w:lang w:eastAsia="en-US"/>
        </w:rPr>
        <w:t xml:space="preserve"> presents the regre</w:t>
      </w:r>
      <w:r w:rsidR="00434574">
        <w:rPr>
          <w:rFonts w:eastAsiaTheme="minorHAnsi" w:cs="Times New Roman"/>
          <w:lang w:eastAsia="en-US"/>
        </w:rPr>
        <w:t>ssion models</w:t>
      </w:r>
      <w:r w:rsidR="00D17909">
        <w:rPr>
          <w:rFonts w:eastAsiaTheme="minorHAnsi" w:cs="Times New Roman"/>
          <w:lang w:eastAsia="en-US"/>
        </w:rPr>
        <w:t xml:space="preserve"> (note, only significant covariates were retained, p &lt; 0.05). </w:t>
      </w:r>
    </w:p>
    <w:tbl>
      <w:tblPr>
        <w:tblStyle w:val="TableGrid"/>
        <w:tblW w:w="9013" w:type="dxa"/>
        <w:tblLook w:val="04A0" w:firstRow="1" w:lastRow="0" w:firstColumn="1" w:lastColumn="0" w:noHBand="0" w:noVBand="1"/>
      </w:tblPr>
      <w:tblGrid>
        <w:gridCol w:w="3940"/>
        <w:gridCol w:w="24"/>
        <w:gridCol w:w="1092"/>
        <w:gridCol w:w="1035"/>
        <w:gridCol w:w="141"/>
        <w:gridCol w:w="1000"/>
        <w:gridCol w:w="701"/>
        <w:gridCol w:w="1080"/>
      </w:tblGrid>
      <w:tr w:rsidR="003C16D3" w14:paraId="1A8FE238" w14:textId="4DF84184" w:rsidTr="00421F62">
        <w:tc>
          <w:tcPr>
            <w:tcW w:w="3964" w:type="dxa"/>
            <w:gridSpan w:val="2"/>
            <w:vMerge w:val="restart"/>
            <w:vAlign w:val="center"/>
          </w:tcPr>
          <w:p w14:paraId="145A275D" w14:textId="77777777" w:rsidR="003C16D3" w:rsidRDefault="003C16D3" w:rsidP="00DC55DC">
            <w:pPr>
              <w:spacing w:line="360" w:lineRule="auto"/>
              <w:jc w:val="center"/>
              <w:rPr>
                <w:rFonts w:eastAsiaTheme="minorHAnsi" w:cs="Times New Roman"/>
                <w:b/>
                <w:lang w:eastAsia="en-US"/>
              </w:rPr>
            </w:pPr>
            <w:r>
              <w:rPr>
                <w:rFonts w:eastAsiaTheme="minorHAnsi" w:cs="Times New Roman"/>
                <w:b/>
                <w:lang w:eastAsia="en-US"/>
              </w:rPr>
              <w:t xml:space="preserve">Model 1: </w:t>
            </w:r>
            <w:r w:rsidR="00DC55DC">
              <w:rPr>
                <w:rFonts w:eastAsiaTheme="minorHAnsi" w:cs="Times New Roman"/>
                <w:b/>
                <w:lang w:eastAsia="en-US"/>
              </w:rPr>
              <w:t>Ruptured AAA</w:t>
            </w:r>
          </w:p>
          <w:p w14:paraId="3C8E2813" w14:textId="0B243B1C" w:rsidR="00DC55DC" w:rsidRPr="00DC55DC" w:rsidRDefault="00DC55DC" w:rsidP="00DC55DC">
            <w:pPr>
              <w:spacing w:line="360" w:lineRule="auto"/>
              <w:jc w:val="center"/>
              <w:rPr>
                <w:rFonts w:eastAsiaTheme="minorHAnsi" w:cs="Times New Roman"/>
                <w:lang w:eastAsia="en-US"/>
              </w:rPr>
            </w:pPr>
            <w:r w:rsidRPr="00DC55DC">
              <w:rPr>
                <w:rFonts w:eastAsiaTheme="minorHAnsi" w:cs="Times New Roman"/>
                <w:sz w:val="18"/>
                <w:lang w:eastAsia="en-US"/>
              </w:rPr>
              <w:t>(GLM with Gamma Distribution and Log Link)</w:t>
            </w:r>
          </w:p>
        </w:tc>
        <w:tc>
          <w:tcPr>
            <w:tcW w:w="5049" w:type="dxa"/>
            <w:gridSpan w:val="6"/>
          </w:tcPr>
          <w:p w14:paraId="0544E24B" w14:textId="44144B1A" w:rsidR="003C16D3" w:rsidRPr="00DC55DC" w:rsidRDefault="003C16D3" w:rsidP="003708EB">
            <w:pPr>
              <w:spacing w:line="360" w:lineRule="auto"/>
              <w:jc w:val="both"/>
              <w:rPr>
                <w:rFonts w:eastAsiaTheme="minorHAnsi" w:cs="Times New Roman"/>
                <w:sz w:val="20"/>
                <w:lang w:eastAsia="en-US"/>
              </w:rPr>
            </w:pPr>
            <w:r w:rsidRPr="00DC55DC">
              <w:rPr>
                <w:rFonts w:eastAsiaTheme="minorHAnsi" w:cs="Times New Roman"/>
                <w:sz w:val="20"/>
                <w:lang w:eastAsia="en-US"/>
              </w:rPr>
              <w:t>Predicting total cost of index episode</w:t>
            </w:r>
          </w:p>
        </w:tc>
      </w:tr>
      <w:tr w:rsidR="003C16D3" w14:paraId="108F425B" w14:textId="4B2776B0" w:rsidTr="00421F62">
        <w:tc>
          <w:tcPr>
            <w:tcW w:w="3964" w:type="dxa"/>
            <w:gridSpan w:val="2"/>
            <w:vMerge/>
          </w:tcPr>
          <w:p w14:paraId="6E28F283" w14:textId="77777777" w:rsidR="003C16D3" w:rsidRDefault="003C16D3" w:rsidP="00D615F9">
            <w:pPr>
              <w:spacing w:line="360" w:lineRule="auto"/>
              <w:jc w:val="both"/>
              <w:rPr>
                <w:rFonts w:eastAsiaTheme="minorHAnsi" w:cs="Times New Roman"/>
                <w:lang w:eastAsia="en-US"/>
              </w:rPr>
            </w:pPr>
          </w:p>
        </w:tc>
        <w:tc>
          <w:tcPr>
            <w:tcW w:w="2127" w:type="dxa"/>
            <w:gridSpan w:val="2"/>
          </w:tcPr>
          <w:p w14:paraId="33EC8F77" w14:textId="066B2898" w:rsidR="003C16D3" w:rsidRPr="00DC55DC" w:rsidRDefault="003C16D3" w:rsidP="00D615F9">
            <w:pPr>
              <w:spacing w:line="360" w:lineRule="auto"/>
              <w:jc w:val="both"/>
              <w:rPr>
                <w:rFonts w:eastAsiaTheme="minorHAnsi" w:cs="Times New Roman"/>
                <w:sz w:val="20"/>
                <w:lang w:eastAsia="en-US"/>
              </w:rPr>
            </w:pPr>
            <w:r w:rsidRPr="00DC55DC">
              <w:rPr>
                <w:rFonts w:eastAsiaTheme="minorHAnsi" w:cs="Times New Roman"/>
                <w:sz w:val="20"/>
                <w:lang w:eastAsia="en-US"/>
              </w:rPr>
              <w:t>Coefficient</w:t>
            </w:r>
          </w:p>
        </w:tc>
        <w:tc>
          <w:tcPr>
            <w:tcW w:w="1141" w:type="dxa"/>
            <w:gridSpan w:val="2"/>
          </w:tcPr>
          <w:p w14:paraId="1CB272E8" w14:textId="3F9CE3C1" w:rsidR="003C16D3" w:rsidRPr="00DC55DC" w:rsidRDefault="00421F62" w:rsidP="003C16D3">
            <w:pPr>
              <w:spacing w:line="360" w:lineRule="auto"/>
              <w:jc w:val="center"/>
              <w:rPr>
                <w:rFonts w:eastAsiaTheme="minorHAnsi" w:cs="Times New Roman"/>
                <w:sz w:val="20"/>
                <w:lang w:eastAsia="en-US"/>
              </w:rPr>
            </w:pPr>
            <w:r>
              <w:rPr>
                <w:rFonts w:eastAsiaTheme="minorHAnsi" w:cs="Times New Roman"/>
                <w:sz w:val="20"/>
                <w:lang w:eastAsia="en-US"/>
              </w:rPr>
              <w:t>SE</w:t>
            </w:r>
          </w:p>
        </w:tc>
        <w:tc>
          <w:tcPr>
            <w:tcW w:w="1781" w:type="dxa"/>
            <w:gridSpan w:val="2"/>
          </w:tcPr>
          <w:p w14:paraId="04EEE881" w14:textId="70D53118" w:rsidR="003C16D3" w:rsidRPr="00DC55DC" w:rsidRDefault="003C16D3" w:rsidP="00D615F9">
            <w:pPr>
              <w:spacing w:line="360" w:lineRule="auto"/>
              <w:jc w:val="both"/>
              <w:rPr>
                <w:rFonts w:eastAsiaTheme="minorHAnsi" w:cs="Times New Roman"/>
                <w:sz w:val="20"/>
                <w:lang w:eastAsia="en-US"/>
              </w:rPr>
            </w:pPr>
            <w:r w:rsidRPr="00DC55DC">
              <w:rPr>
                <w:rFonts w:eastAsiaTheme="minorHAnsi" w:cs="Times New Roman"/>
                <w:sz w:val="20"/>
                <w:lang w:eastAsia="en-US"/>
              </w:rPr>
              <w:t>EXP of coefficient</w:t>
            </w:r>
          </w:p>
        </w:tc>
      </w:tr>
      <w:tr w:rsidR="00421F62" w14:paraId="2BBEE806" w14:textId="78F15F5A" w:rsidTr="00421F62">
        <w:trPr>
          <w:trHeight w:hRule="exact" w:val="340"/>
        </w:trPr>
        <w:tc>
          <w:tcPr>
            <w:tcW w:w="3964" w:type="dxa"/>
            <w:gridSpan w:val="2"/>
          </w:tcPr>
          <w:p w14:paraId="1CE64D2C" w14:textId="1AEB84F9" w:rsidR="00421F62" w:rsidRPr="00DC55DC" w:rsidRDefault="00421F62" w:rsidP="00421F62">
            <w:pPr>
              <w:spacing w:line="360" w:lineRule="auto"/>
              <w:jc w:val="both"/>
              <w:rPr>
                <w:rFonts w:eastAsiaTheme="minorHAnsi" w:cs="Times New Roman"/>
                <w:sz w:val="20"/>
                <w:lang w:eastAsia="en-US"/>
              </w:rPr>
            </w:pPr>
            <w:r w:rsidRPr="00DC55DC">
              <w:rPr>
                <w:rFonts w:eastAsiaTheme="minorHAnsi" w:cs="Times New Roman"/>
                <w:sz w:val="20"/>
                <w:lang w:eastAsia="en-US"/>
              </w:rPr>
              <w:t>Intercept</w:t>
            </w:r>
          </w:p>
        </w:tc>
        <w:tc>
          <w:tcPr>
            <w:tcW w:w="2127" w:type="dxa"/>
            <w:gridSpan w:val="2"/>
            <w:vAlign w:val="bottom"/>
          </w:tcPr>
          <w:p w14:paraId="4A2B47C2" w14:textId="63737BDE" w:rsidR="00421F62" w:rsidRPr="00DC55DC" w:rsidRDefault="00421F62" w:rsidP="00421F62">
            <w:pPr>
              <w:rPr>
                <w:sz w:val="20"/>
                <w:szCs w:val="20"/>
              </w:rPr>
            </w:pPr>
            <w:r>
              <w:rPr>
                <w:rFonts w:ascii="Calibri" w:hAnsi="Calibri"/>
                <w:color w:val="000000"/>
                <w:sz w:val="22"/>
              </w:rPr>
              <w:t>6.8837</w:t>
            </w:r>
          </w:p>
        </w:tc>
        <w:tc>
          <w:tcPr>
            <w:tcW w:w="1141" w:type="dxa"/>
            <w:gridSpan w:val="2"/>
            <w:vAlign w:val="bottom"/>
          </w:tcPr>
          <w:p w14:paraId="796CAED8" w14:textId="71E88DE5" w:rsidR="00421F62" w:rsidRPr="00DC55DC" w:rsidRDefault="00421F62" w:rsidP="00421F62">
            <w:pPr>
              <w:rPr>
                <w:sz w:val="20"/>
                <w:szCs w:val="20"/>
              </w:rPr>
            </w:pPr>
            <w:r>
              <w:rPr>
                <w:rFonts w:ascii="Calibri" w:hAnsi="Calibri"/>
                <w:color w:val="000000"/>
                <w:sz w:val="22"/>
              </w:rPr>
              <w:t>0.2412</w:t>
            </w:r>
          </w:p>
        </w:tc>
        <w:tc>
          <w:tcPr>
            <w:tcW w:w="1781" w:type="dxa"/>
            <w:gridSpan w:val="2"/>
            <w:vAlign w:val="bottom"/>
          </w:tcPr>
          <w:p w14:paraId="1CE18AE7" w14:textId="52BD5A92" w:rsidR="00421F62" w:rsidRPr="00DC55DC" w:rsidRDefault="00421F62" w:rsidP="00421F62">
            <w:pPr>
              <w:rPr>
                <w:sz w:val="20"/>
                <w:szCs w:val="20"/>
              </w:rPr>
            </w:pPr>
            <w:r>
              <w:rPr>
                <w:rFonts w:ascii="Calibri" w:hAnsi="Calibri"/>
                <w:color w:val="000000"/>
                <w:sz w:val="22"/>
              </w:rPr>
              <w:t>976.253</w:t>
            </w:r>
          </w:p>
        </w:tc>
      </w:tr>
      <w:tr w:rsidR="00421F62" w14:paraId="34B7ECAF" w14:textId="67E63A07" w:rsidTr="00421F62">
        <w:trPr>
          <w:trHeight w:hRule="exact" w:val="340"/>
        </w:trPr>
        <w:tc>
          <w:tcPr>
            <w:tcW w:w="3964" w:type="dxa"/>
            <w:gridSpan w:val="2"/>
          </w:tcPr>
          <w:p w14:paraId="55D7EEC4" w14:textId="0048B105" w:rsidR="00421F62" w:rsidRPr="00DC55DC" w:rsidRDefault="00421F62" w:rsidP="00421F62">
            <w:pPr>
              <w:spacing w:line="360" w:lineRule="auto"/>
              <w:jc w:val="both"/>
              <w:rPr>
                <w:rFonts w:eastAsiaTheme="minorHAnsi" w:cs="Times New Roman"/>
                <w:sz w:val="20"/>
                <w:lang w:eastAsia="en-US"/>
              </w:rPr>
            </w:pPr>
            <w:r>
              <w:rPr>
                <w:rFonts w:eastAsiaTheme="minorHAnsi" w:cs="Times New Roman"/>
                <w:sz w:val="20"/>
                <w:lang w:eastAsia="en-US"/>
              </w:rPr>
              <w:t xml:space="preserve">Having </w:t>
            </w:r>
            <w:r w:rsidRPr="00DC55DC">
              <w:rPr>
                <w:rFonts w:eastAsiaTheme="minorHAnsi" w:cs="Times New Roman"/>
                <w:sz w:val="20"/>
                <w:lang w:eastAsia="en-US"/>
              </w:rPr>
              <w:t>Open Repair</w:t>
            </w:r>
          </w:p>
        </w:tc>
        <w:tc>
          <w:tcPr>
            <w:tcW w:w="2127" w:type="dxa"/>
            <w:gridSpan w:val="2"/>
            <w:vAlign w:val="bottom"/>
          </w:tcPr>
          <w:p w14:paraId="57EFC512" w14:textId="536F7CF5" w:rsidR="00421F62" w:rsidRPr="00DC55DC" w:rsidRDefault="00421F62" w:rsidP="00421F62">
            <w:pPr>
              <w:rPr>
                <w:sz w:val="20"/>
                <w:szCs w:val="20"/>
              </w:rPr>
            </w:pPr>
            <w:r>
              <w:rPr>
                <w:rFonts w:ascii="Calibri" w:hAnsi="Calibri"/>
                <w:color w:val="000000"/>
                <w:sz w:val="22"/>
              </w:rPr>
              <w:t>0.1424</w:t>
            </w:r>
          </w:p>
        </w:tc>
        <w:tc>
          <w:tcPr>
            <w:tcW w:w="1141" w:type="dxa"/>
            <w:gridSpan w:val="2"/>
            <w:vAlign w:val="bottom"/>
          </w:tcPr>
          <w:p w14:paraId="246824A6" w14:textId="2F51E8B2" w:rsidR="00421F62" w:rsidRPr="00DC55DC" w:rsidRDefault="00421F62" w:rsidP="00421F62">
            <w:pPr>
              <w:rPr>
                <w:sz w:val="20"/>
                <w:szCs w:val="20"/>
              </w:rPr>
            </w:pPr>
            <w:r>
              <w:rPr>
                <w:rFonts w:ascii="Calibri" w:hAnsi="Calibri"/>
                <w:color w:val="000000"/>
                <w:sz w:val="22"/>
              </w:rPr>
              <w:t>0.0364</w:t>
            </w:r>
          </w:p>
        </w:tc>
        <w:tc>
          <w:tcPr>
            <w:tcW w:w="1781" w:type="dxa"/>
            <w:gridSpan w:val="2"/>
            <w:vAlign w:val="bottom"/>
          </w:tcPr>
          <w:p w14:paraId="62515A6D" w14:textId="06C7E270" w:rsidR="00421F62" w:rsidRPr="00DC55DC" w:rsidRDefault="00421F62" w:rsidP="00421F62">
            <w:pPr>
              <w:rPr>
                <w:sz w:val="20"/>
                <w:szCs w:val="20"/>
              </w:rPr>
            </w:pPr>
            <w:r>
              <w:rPr>
                <w:rFonts w:ascii="Calibri" w:hAnsi="Calibri"/>
                <w:color w:val="000000"/>
                <w:sz w:val="22"/>
              </w:rPr>
              <w:t>1.153</w:t>
            </w:r>
          </w:p>
        </w:tc>
      </w:tr>
      <w:tr w:rsidR="00421F62" w14:paraId="57CF7F95" w14:textId="77777777" w:rsidTr="00421F62">
        <w:trPr>
          <w:trHeight w:hRule="exact" w:val="340"/>
        </w:trPr>
        <w:tc>
          <w:tcPr>
            <w:tcW w:w="3964" w:type="dxa"/>
            <w:gridSpan w:val="2"/>
          </w:tcPr>
          <w:p w14:paraId="4DBF2C00" w14:textId="1D11DFD1" w:rsidR="00421F62" w:rsidRDefault="00421F62" w:rsidP="00421F62">
            <w:pPr>
              <w:spacing w:line="360" w:lineRule="auto"/>
              <w:jc w:val="both"/>
              <w:rPr>
                <w:rFonts w:eastAsiaTheme="minorHAnsi" w:cs="Times New Roman"/>
                <w:sz w:val="20"/>
                <w:lang w:eastAsia="en-US"/>
              </w:rPr>
            </w:pPr>
            <w:r>
              <w:rPr>
                <w:rFonts w:eastAsiaTheme="minorHAnsi" w:cs="Times New Roman"/>
                <w:sz w:val="20"/>
                <w:lang w:eastAsia="en-US"/>
              </w:rPr>
              <w:t xml:space="preserve">HES year </w:t>
            </w:r>
          </w:p>
        </w:tc>
        <w:tc>
          <w:tcPr>
            <w:tcW w:w="2127" w:type="dxa"/>
            <w:gridSpan w:val="2"/>
            <w:vAlign w:val="bottom"/>
          </w:tcPr>
          <w:p w14:paraId="3A07D564" w14:textId="77777777" w:rsidR="00421F62" w:rsidRDefault="00421F62" w:rsidP="00421F62">
            <w:pPr>
              <w:rPr>
                <w:rFonts w:ascii="Calibri" w:hAnsi="Calibri"/>
                <w:color w:val="000000"/>
                <w:sz w:val="22"/>
              </w:rPr>
            </w:pPr>
          </w:p>
        </w:tc>
        <w:tc>
          <w:tcPr>
            <w:tcW w:w="1141" w:type="dxa"/>
            <w:gridSpan w:val="2"/>
            <w:vAlign w:val="bottom"/>
          </w:tcPr>
          <w:p w14:paraId="59922B8D" w14:textId="77777777" w:rsidR="00421F62" w:rsidRDefault="00421F62" w:rsidP="00421F62">
            <w:pPr>
              <w:rPr>
                <w:rFonts w:ascii="Calibri" w:hAnsi="Calibri"/>
                <w:color w:val="000000"/>
                <w:sz w:val="22"/>
              </w:rPr>
            </w:pPr>
          </w:p>
        </w:tc>
        <w:tc>
          <w:tcPr>
            <w:tcW w:w="1781" w:type="dxa"/>
            <w:gridSpan w:val="2"/>
            <w:vAlign w:val="bottom"/>
          </w:tcPr>
          <w:p w14:paraId="579DB256" w14:textId="77777777" w:rsidR="00421F62" w:rsidRDefault="00421F62" w:rsidP="00421F62">
            <w:pPr>
              <w:rPr>
                <w:rFonts w:ascii="Calibri" w:hAnsi="Calibri"/>
                <w:color w:val="000000"/>
                <w:sz w:val="22"/>
              </w:rPr>
            </w:pPr>
          </w:p>
        </w:tc>
      </w:tr>
      <w:tr w:rsidR="00421F62" w14:paraId="0B25785C" w14:textId="77777777" w:rsidTr="00421F62">
        <w:trPr>
          <w:trHeight w:hRule="exact" w:val="340"/>
        </w:trPr>
        <w:tc>
          <w:tcPr>
            <w:tcW w:w="3964" w:type="dxa"/>
            <w:gridSpan w:val="2"/>
          </w:tcPr>
          <w:p w14:paraId="31E6FFE1" w14:textId="68DD1616" w:rsidR="00421F62" w:rsidRPr="00421F62" w:rsidRDefault="00421F62" w:rsidP="00421F62">
            <w:pPr>
              <w:pStyle w:val="ListParagraph"/>
              <w:numPr>
                <w:ilvl w:val="0"/>
                <w:numId w:val="45"/>
              </w:numPr>
              <w:spacing w:line="360" w:lineRule="auto"/>
              <w:jc w:val="both"/>
              <w:rPr>
                <w:rFonts w:eastAsiaTheme="minorHAnsi" w:cs="Times New Roman"/>
                <w:sz w:val="20"/>
                <w:lang w:eastAsia="en-US"/>
              </w:rPr>
            </w:pPr>
            <w:r w:rsidRPr="00421F62">
              <w:rPr>
                <w:rFonts w:eastAsiaTheme="minorHAnsi" w:cs="Times New Roman"/>
                <w:sz w:val="20"/>
                <w:lang w:eastAsia="en-US"/>
              </w:rPr>
              <w:t>200809</w:t>
            </w:r>
          </w:p>
        </w:tc>
        <w:tc>
          <w:tcPr>
            <w:tcW w:w="2127" w:type="dxa"/>
            <w:gridSpan w:val="2"/>
          </w:tcPr>
          <w:p w14:paraId="05F31B08" w14:textId="04A53EA9" w:rsidR="00421F62" w:rsidRDefault="00421F62" w:rsidP="00421F62">
            <w:pPr>
              <w:rPr>
                <w:rFonts w:ascii="Calibri" w:hAnsi="Calibri"/>
                <w:color w:val="000000"/>
                <w:sz w:val="22"/>
              </w:rPr>
            </w:pPr>
            <w:r>
              <w:rPr>
                <w:sz w:val="20"/>
                <w:szCs w:val="20"/>
              </w:rPr>
              <w:t>0</w:t>
            </w:r>
          </w:p>
        </w:tc>
        <w:tc>
          <w:tcPr>
            <w:tcW w:w="1141" w:type="dxa"/>
            <w:gridSpan w:val="2"/>
          </w:tcPr>
          <w:p w14:paraId="5A60BDEC" w14:textId="526185C0" w:rsidR="00421F62" w:rsidRDefault="00421F62" w:rsidP="00421F62">
            <w:pPr>
              <w:rPr>
                <w:rFonts w:ascii="Calibri" w:hAnsi="Calibri"/>
                <w:color w:val="000000"/>
                <w:sz w:val="22"/>
              </w:rPr>
            </w:pPr>
            <w:r>
              <w:rPr>
                <w:sz w:val="20"/>
                <w:szCs w:val="20"/>
              </w:rPr>
              <w:t>0</w:t>
            </w:r>
          </w:p>
        </w:tc>
        <w:tc>
          <w:tcPr>
            <w:tcW w:w="1781" w:type="dxa"/>
            <w:gridSpan w:val="2"/>
          </w:tcPr>
          <w:p w14:paraId="4C62F388" w14:textId="18FE46B3" w:rsidR="00421F62" w:rsidRDefault="00421F62" w:rsidP="00421F62">
            <w:pPr>
              <w:rPr>
                <w:rFonts w:ascii="Calibri" w:hAnsi="Calibri"/>
                <w:color w:val="000000"/>
                <w:sz w:val="22"/>
              </w:rPr>
            </w:pPr>
            <w:r>
              <w:rPr>
                <w:sz w:val="20"/>
                <w:szCs w:val="20"/>
              </w:rPr>
              <w:t>1</w:t>
            </w:r>
          </w:p>
        </w:tc>
      </w:tr>
      <w:tr w:rsidR="00421F62" w14:paraId="525B917B" w14:textId="3D2833BA" w:rsidTr="00421F62">
        <w:trPr>
          <w:trHeight w:hRule="exact" w:val="340"/>
        </w:trPr>
        <w:tc>
          <w:tcPr>
            <w:tcW w:w="3964" w:type="dxa"/>
            <w:gridSpan w:val="2"/>
          </w:tcPr>
          <w:p w14:paraId="3C103171" w14:textId="25DC1747" w:rsidR="00421F62" w:rsidRPr="00DC55DC" w:rsidRDefault="00421F62" w:rsidP="00421F62">
            <w:pPr>
              <w:pStyle w:val="ListParagraph"/>
              <w:numPr>
                <w:ilvl w:val="0"/>
                <w:numId w:val="39"/>
              </w:numPr>
              <w:spacing w:line="360" w:lineRule="auto"/>
              <w:jc w:val="both"/>
              <w:rPr>
                <w:rFonts w:eastAsiaTheme="minorHAnsi" w:cs="Times New Roman"/>
                <w:sz w:val="20"/>
                <w:lang w:eastAsia="en-US"/>
              </w:rPr>
            </w:pPr>
            <w:r w:rsidRPr="00DC55DC">
              <w:rPr>
                <w:rFonts w:eastAsiaTheme="minorHAnsi" w:cs="Times New Roman"/>
                <w:sz w:val="20"/>
                <w:lang w:eastAsia="en-US"/>
              </w:rPr>
              <w:t>200910</w:t>
            </w:r>
          </w:p>
        </w:tc>
        <w:tc>
          <w:tcPr>
            <w:tcW w:w="2127" w:type="dxa"/>
            <w:gridSpan w:val="2"/>
            <w:vAlign w:val="bottom"/>
          </w:tcPr>
          <w:p w14:paraId="54459F2E" w14:textId="0E97F54C" w:rsidR="00421F62" w:rsidRPr="00DC55DC" w:rsidRDefault="00421F62" w:rsidP="00421F62">
            <w:pPr>
              <w:rPr>
                <w:sz w:val="20"/>
                <w:szCs w:val="20"/>
              </w:rPr>
            </w:pPr>
            <w:r>
              <w:rPr>
                <w:rFonts w:ascii="Calibri" w:hAnsi="Calibri"/>
                <w:color w:val="000000"/>
                <w:sz w:val="22"/>
              </w:rPr>
              <w:t>0.2180</w:t>
            </w:r>
          </w:p>
        </w:tc>
        <w:tc>
          <w:tcPr>
            <w:tcW w:w="1141" w:type="dxa"/>
            <w:gridSpan w:val="2"/>
            <w:vAlign w:val="bottom"/>
          </w:tcPr>
          <w:p w14:paraId="0DF88D78" w14:textId="76485737" w:rsidR="00421F62" w:rsidRPr="00DC55DC" w:rsidRDefault="00421F62" w:rsidP="00421F62">
            <w:pPr>
              <w:rPr>
                <w:sz w:val="20"/>
                <w:szCs w:val="20"/>
              </w:rPr>
            </w:pPr>
            <w:r>
              <w:rPr>
                <w:rFonts w:ascii="Calibri" w:hAnsi="Calibri"/>
                <w:color w:val="000000"/>
                <w:sz w:val="22"/>
              </w:rPr>
              <w:t>0.0471</w:t>
            </w:r>
          </w:p>
        </w:tc>
        <w:tc>
          <w:tcPr>
            <w:tcW w:w="1781" w:type="dxa"/>
            <w:gridSpan w:val="2"/>
            <w:vAlign w:val="bottom"/>
          </w:tcPr>
          <w:p w14:paraId="2C862233" w14:textId="5AF558A8" w:rsidR="00421F62" w:rsidRPr="00DC55DC" w:rsidRDefault="00421F62" w:rsidP="00421F62">
            <w:pPr>
              <w:rPr>
                <w:sz w:val="20"/>
                <w:szCs w:val="20"/>
              </w:rPr>
            </w:pPr>
            <w:r>
              <w:rPr>
                <w:rFonts w:ascii="Calibri" w:hAnsi="Calibri"/>
                <w:color w:val="000000"/>
                <w:sz w:val="22"/>
              </w:rPr>
              <w:t>1.244</w:t>
            </w:r>
          </w:p>
        </w:tc>
      </w:tr>
      <w:tr w:rsidR="00421F62" w14:paraId="5D91752C" w14:textId="4369AFC2" w:rsidTr="00421F62">
        <w:trPr>
          <w:trHeight w:hRule="exact" w:val="340"/>
        </w:trPr>
        <w:tc>
          <w:tcPr>
            <w:tcW w:w="3964" w:type="dxa"/>
            <w:gridSpan w:val="2"/>
          </w:tcPr>
          <w:p w14:paraId="1DE8FEAB" w14:textId="1FC7AA6E" w:rsidR="00421F62" w:rsidRPr="00DC55DC" w:rsidRDefault="00421F62" w:rsidP="00421F62">
            <w:pPr>
              <w:pStyle w:val="ListParagraph"/>
              <w:numPr>
                <w:ilvl w:val="0"/>
                <w:numId w:val="39"/>
              </w:numPr>
              <w:spacing w:line="360" w:lineRule="auto"/>
              <w:jc w:val="both"/>
              <w:rPr>
                <w:rFonts w:eastAsiaTheme="minorHAnsi" w:cs="Times New Roman"/>
                <w:sz w:val="20"/>
                <w:lang w:eastAsia="en-US"/>
              </w:rPr>
            </w:pPr>
            <w:r w:rsidRPr="00DC55DC">
              <w:rPr>
                <w:rFonts w:eastAsiaTheme="minorHAnsi" w:cs="Times New Roman"/>
                <w:sz w:val="20"/>
                <w:lang w:eastAsia="en-US"/>
              </w:rPr>
              <w:t>201011</w:t>
            </w:r>
          </w:p>
        </w:tc>
        <w:tc>
          <w:tcPr>
            <w:tcW w:w="2127" w:type="dxa"/>
            <w:gridSpan w:val="2"/>
            <w:vAlign w:val="bottom"/>
          </w:tcPr>
          <w:p w14:paraId="0E7E9794" w14:textId="44E4E16A" w:rsidR="00421F62" w:rsidRPr="00DC55DC" w:rsidRDefault="00421F62" w:rsidP="00421F62">
            <w:pPr>
              <w:rPr>
                <w:sz w:val="20"/>
                <w:szCs w:val="20"/>
              </w:rPr>
            </w:pPr>
            <w:r>
              <w:rPr>
                <w:rFonts w:ascii="Calibri" w:hAnsi="Calibri"/>
                <w:color w:val="000000"/>
                <w:sz w:val="22"/>
              </w:rPr>
              <w:t>0.3940</w:t>
            </w:r>
          </w:p>
        </w:tc>
        <w:tc>
          <w:tcPr>
            <w:tcW w:w="1141" w:type="dxa"/>
            <w:gridSpan w:val="2"/>
            <w:vAlign w:val="bottom"/>
          </w:tcPr>
          <w:p w14:paraId="2989B7BF" w14:textId="278C50CB" w:rsidR="00421F62" w:rsidRPr="00DC55DC" w:rsidRDefault="00421F62" w:rsidP="00421F62">
            <w:pPr>
              <w:rPr>
                <w:sz w:val="20"/>
                <w:szCs w:val="20"/>
              </w:rPr>
            </w:pPr>
            <w:r>
              <w:rPr>
                <w:rFonts w:ascii="Calibri" w:hAnsi="Calibri"/>
                <w:color w:val="000000"/>
                <w:sz w:val="22"/>
              </w:rPr>
              <w:t>0.0473</w:t>
            </w:r>
          </w:p>
        </w:tc>
        <w:tc>
          <w:tcPr>
            <w:tcW w:w="1781" w:type="dxa"/>
            <w:gridSpan w:val="2"/>
            <w:vAlign w:val="bottom"/>
          </w:tcPr>
          <w:p w14:paraId="72B44E1C" w14:textId="547C0027" w:rsidR="00421F62" w:rsidRPr="00DC55DC" w:rsidRDefault="00421F62" w:rsidP="00421F62">
            <w:pPr>
              <w:rPr>
                <w:sz w:val="20"/>
                <w:szCs w:val="20"/>
              </w:rPr>
            </w:pPr>
            <w:r>
              <w:rPr>
                <w:rFonts w:ascii="Calibri" w:hAnsi="Calibri"/>
                <w:color w:val="000000"/>
                <w:sz w:val="22"/>
              </w:rPr>
              <w:t>1.483</w:t>
            </w:r>
          </w:p>
        </w:tc>
      </w:tr>
      <w:tr w:rsidR="00421F62" w14:paraId="70C5CA47" w14:textId="353BD29C" w:rsidTr="00421F62">
        <w:trPr>
          <w:trHeight w:hRule="exact" w:val="340"/>
        </w:trPr>
        <w:tc>
          <w:tcPr>
            <w:tcW w:w="3964" w:type="dxa"/>
            <w:gridSpan w:val="2"/>
          </w:tcPr>
          <w:p w14:paraId="30491405" w14:textId="31707D69" w:rsidR="00421F62" w:rsidRPr="00DC55DC" w:rsidRDefault="00421F62" w:rsidP="00421F62">
            <w:pPr>
              <w:pStyle w:val="ListParagraph"/>
              <w:numPr>
                <w:ilvl w:val="0"/>
                <w:numId w:val="39"/>
              </w:numPr>
              <w:spacing w:line="360" w:lineRule="auto"/>
              <w:jc w:val="both"/>
              <w:rPr>
                <w:rFonts w:eastAsiaTheme="minorHAnsi" w:cs="Times New Roman"/>
                <w:sz w:val="20"/>
                <w:lang w:eastAsia="en-US"/>
              </w:rPr>
            </w:pPr>
            <w:r w:rsidRPr="00DC55DC">
              <w:rPr>
                <w:rFonts w:eastAsiaTheme="minorHAnsi" w:cs="Times New Roman"/>
                <w:sz w:val="20"/>
                <w:lang w:eastAsia="en-US"/>
              </w:rPr>
              <w:t>201112</w:t>
            </w:r>
          </w:p>
        </w:tc>
        <w:tc>
          <w:tcPr>
            <w:tcW w:w="2127" w:type="dxa"/>
            <w:gridSpan w:val="2"/>
            <w:vAlign w:val="bottom"/>
          </w:tcPr>
          <w:p w14:paraId="7E91C108" w14:textId="37043351" w:rsidR="00421F62" w:rsidRPr="00DC55DC" w:rsidRDefault="00421F62" w:rsidP="00421F62">
            <w:pPr>
              <w:rPr>
                <w:sz w:val="20"/>
                <w:szCs w:val="20"/>
              </w:rPr>
            </w:pPr>
            <w:r>
              <w:rPr>
                <w:rFonts w:ascii="Calibri" w:hAnsi="Calibri"/>
                <w:color w:val="000000"/>
                <w:sz w:val="22"/>
              </w:rPr>
              <w:t>0.3847</w:t>
            </w:r>
          </w:p>
        </w:tc>
        <w:tc>
          <w:tcPr>
            <w:tcW w:w="1141" w:type="dxa"/>
            <w:gridSpan w:val="2"/>
            <w:vAlign w:val="bottom"/>
          </w:tcPr>
          <w:p w14:paraId="38A7391B" w14:textId="7FD1ABB6" w:rsidR="00421F62" w:rsidRPr="00DC55DC" w:rsidRDefault="00421F62" w:rsidP="00421F62">
            <w:pPr>
              <w:rPr>
                <w:sz w:val="20"/>
                <w:szCs w:val="20"/>
              </w:rPr>
            </w:pPr>
            <w:r>
              <w:rPr>
                <w:rFonts w:ascii="Calibri" w:hAnsi="Calibri"/>
                <w:color w:val="000000"/>
                <w:sz w:val="22"/>
              </w:rPr>
              <w:t>0.0473</w:t>
            </w:r>
          </w:p>
        </w:tc>
        <w:tc>
          <w:tcPr>
            <w:tcW w:w="1781" w:type="dxa"/>
            <w:gridSpan w:val="2"/>
            <w:vAlign w:val="bottom"/>
          </w:tcPr>
          <w:p w14:paraId="69CA226C" w14:textId="1A631419" w:rsidR="00421F62" w:rsidRPr="00DC55DC" w:rsidRDefault="00421F62" w:rsidP="00421F62">
            <w:pPr>
              <w:rPr>
                <w:sz w:val="20"/>
                <w:szCs w:val="20"/>
              </w:rPr>
            </w:pPr>
            <w:r>
              <w:rPr>
                <w:rFonts w:ascii="Calibri" w:hAnsi="Calibri"/>
                <w:color w:val="000000"/>
                <w:sz w:val="22"/>
              </w:rPr>
              <w:t>1.469</w:t>
            </w:r>
          </w:p>
        </w:tc>
      </w:tr>
      <w:tr w:rsidR="00421F62" w14:paraId="10470A4C" w14:textId="77777777" w:rsidTr="00421F62">
        <w:trPr>
          <w:trHeight w:hRule="exact" w:val="340"/>
        </w:trPr>
        <w:tc>
          <w:tcPr>
            <w:tcW w:w="3964" w:type="dxa"/>
            <w:gridSpan w:val="2"/>
          </w:tcPr>
          <w:p w14:paraId="08561FCE" w14:textId="23E63413" w:rsidR="00421F62" w:rsidRPr="00DC55DC" w:rsidRDefault="00421F62" w:rsidP="00421F62">
            <w:pPr>
              <w:pStyle w:val="ListParagraph"/>
              <w:numPr>
                <w:ilvl w:val="0"/>
                <w:numId w:val="39"/>
              </w:numPr>
              <w:spacing w:line="360" w:lineRule="auto"/>
              <w:jc w:val="both"/>
              <w:rPr>
                <w:rFonts w:eastAsiaTheme="minorHAnsi" w:cs="Times New Roman"/>
                <w:sz w:val="20"/>
                <w:lang w:eastAsia="en-US"/>
              </w:rPr>
            </w:pPr>
            <w:r w:rsidRPr="00DC55DC">
              <w:rPr>
                <w:rFonts w:eastAsiaTheme="minorHAnsi" w:cs="Times New Roman"/>
                <w:sz w:val="20"/>
                <w:lang w:eastAsia="en-US"/>
              </w:rPr>
              <w:t>201213</w:t>
            </w:r>
          </w:p>
        </w:tc>
        <w:tc>
          <w:tcPr>
            <w:tcW w:w="2127" w:type="dxa"/>
            <w:gridSpan w:val="2"/>
            <w:vAlign w:val="bottom"/>
          </w:tcPr>
          <w:p w14:paraId="6B0EE56B" w14:textId="2D563F79" w:rsidR="00421F62" w:rsidRPr="00DC55DC" w:rsidRDefault="00421F62" w:rsidP="00421F62">
            <w:pPr>
              <w:rPr>
                <w:sz w:val="20"/>
                <w:szCs w:val="20"/>
              </w:rPr>
            </w:pPr>
            <w:r>
              <w:rPr>
                <w:rFonts w:ascii="Calibri" w:hAnsi="Calibri"/>
                <w:color w:val="000000"/>
                <w:sz w:val="22"/>
              </w:rPr>
              <w:t>0.4031</w:t>
            </w:r>
          </w:p>
        </w:tc>
        <w:tc>
          <w:tcPr>
            <w:tcW w:w="1141" w:type="dxa"/>
            <w:gridSpan w:val="2"/>
            <w:vAlign w:val="bottom"/>
          </w:tcPr>
          <w:p w14:paraId="358433EE" w14:textId="53A43865" w:rsidR="00421F62" w:rsidRPr="00DC55DC" w:rsidRDefault="00421F62" w:rsidP="00421F62">
            <w:pPr>
              <w:rPr>
                <w:sz w:val="20"/>
                <w:szCs w:val="20"/>
              </w:rPr>
            </w:pPr>
            <w:r>
              <w:rPr>
                <w:rFonts w:ascii="Calibri" w:hAnsi="Calibri"/>
                <w:color w:val="000000"/>
                <w:sz w:val="22"/>
              </w:rPr>
              <w:t>0.0478</w:t>
            </w:r>
          </w:p>
        </w:tc>
        <w:tc>
          <w:tcPr>
            <w:tcW w:w="1781" w:type="dxa"/>
            <w:gridSpan w:val="2"/>
            <w:vAlign w:val="bottom"/>
          </w:tcPr>
          <w:p w14:paraId="5A2821A0" w14:textId="2B4B757A" w:rsidR="00421F62" w:rsidRPr="00DC55DC" w:rsidRDefault="00421F62" w:rsidP="00421F62">
            <w:pPr>
              <w:rPr>
                <w:sz w:val="20"/>
                <w:szCs w:val="20"/>
              </w:rPr>
            </w:pPr>
            <w:r>
              <w:rPr>
                <w:rFonts w:ascii="Calibri" w:hAnsi="Calibri"/>
                <w:color w:val="000000"/>
                <w:sz w:val="22"/>
              </w:rPr>
              <w:t>1.496</w:t>
            </w:r>
          </w:p>
        </w:tc>
      </w:tr>
      <w:tr w:rsidR="00421F62" w14:paraId="32B538B3" w14:textId="77777777" w:rsidTr="00421F62">
        <w:trPr>
          <w:trHeight w:hRule="exact" w:val="340"/>
        </w:trPr>
        <w:tc>
          <w:tcPr>
            <w:tcW w:w="3964" w:type="dxa"/>
            <w:gridSpan w:val="2"/>
          </w:tcPr>
          <w:p w14:paraId="02E1E715" w14:textId="64AB5C22" w:rsidR="00421F62" w:rsidRPr="00DC55DC" w:rsidRDefault="00421F62" w:rsidP="00421F62">
            <w:pPr>
              <w:pStyle w:val="ListParagraph"/>
              <w:numPr>
                <w:ilvl w:val="0"/>
                <w:numId w:val="39"/>
              </w:numPr>
              <w:spacing w:line="360" w:lineRule="auto"/>
              <w:jc w:val="both"/>
              <w:rPr>
                <w:rFonts w:eastAsiaTheme="minorHAnsi" w:cs="Times New Roman"/>
                <w:sz w:val="20"/>
                <w:lang w:eastAsia="en-US"/>
              </w:rPr>
            </w:pPr>
            <w:r w:rsidRPr="00DC55DC">
              <w:rPr>
                <w:rFonts w:eastAsiaTheme="minorHAnsi" w:cs="Times New Roman"/>
                <w:sz w:val="20"/>
                <w:lang w:eastAsia="en-US"/>
              </w:rPr>
              <w:t>201314</w:t>
            </w:r>
          </w:p>
        </w:tc>
        <w:tc>
          <w:tcPr>
            <w:tcW w:w="2127" w:type="dxa"/>
            <w:gridSpan w:val="2"/>
            <w:vAlign w:val="bottom"/>
          </w:tcPr>
          <w:p w14:paraId="2F6ABABE" w14:textId="4DB68EAC" w:rsidR="00421F62" w:rsidRPr="00DC55DC" w:rsidRDefault="00421F62" w:rsidP="00421F62">
            <w:pPr>
              <w:rPr>
                <w:sz w:val="20"/>
                <w:szCs w:val="20"/>
              </w:rPr>
            </w:pPr>
            <w:r>
              <w:rPr>
                <w:rFonts w:ascii="Calibri" w:hAnsi="Calibri"/>
                <w:color w:val="000000"/>
                <w:sz w:val="22"/>
              </w:rPr>
              <w:t>0.3721</w:t>
            </w:r>
          </w:p>
        </w:tc>
        <w:tc>
          <w:tcPr>
            <w:tcW w:w="1141" w:type="dxa"/>
            <w:gridSpan w:val="2"/>
            <w:vAlign w:val="bottom"/>
          </w:tcPr>
          <w:p w14:paraId="2C8AD8A5" w14:textId="71157F6F" w:rsidR="00421F62" w:rsidRPr="00DC55DC" w:rsidRDefault="00421F62" w:rsidP="00421F62">
            <w:pPr>
              <w:rPr>
                <w:sz w:val="20"/>
                <w:szCs w:val="20"/>
              </w:rPr>
            </w:pPr>
            <w:r>
              <w:rPr>
                <w:rFonts w:ascii="Calibri" w:hAnsi="Calibri"/>
                <w:color w:val="000000"/>
                <w:sz w:val="22"/>
              </w:rPr>
              <w:t>0.0495</w:t>
            </w:r>
          </w:p>
        </w:tc>
        <w:tc>
          <w:tcPr>
            <w:tcW w:w="1781" w:type="dxa"/>
            <w:gridSpan w:val="2"/>
            <w:vAlign w:val="bottom"/>
          </w:tcPr>
          <w:p w14:paraId="2E020A9F" w14:textId="0E93412C" w:rsidR="00421F62" w:rsidRPr="00DC55DC" w:rsidRDefault="00421F62" w:rsidP="00421F62">
            <w:pPr>
              <w:rPr>
                <w:sz w:val="20"/>
                <w:szCs w:val="20"/>
              </w:rPr>
            </w:pPr>
            <w:r>
              <w:rPr>
                <w:rFonts w:ascii="Calibri" w:hAnsi="Calibri"/>
                <w:color w:val="000000"/>
                <w:sz w:val="22"/>
              </w:rPr>
              <w:t>1.451</w:t>
            </w:r>
          </w:p>
        </w:tc>
      </w:tr>
      <w:tr w:rsidR="00421F62" w14:paraId="3C11FBBD" w14:textId="77777777" w:rsidTr="00421F62">
        <w:trPr>
          <w:trHeight w:hRule="exact" w:val="340"/>
        </w:trPr>
        <w:tc>
          <w:tcPr>
            <w:tcW w:w="3964" w:type="dxa"/>
            <w:gridSpan w:val="2"/>
          </w:tcPr>
          <w:p w14:paraId="322FEDAF" w14:textId="04B1ED36" w:rsidR="00421F62" w:rsidRPr="00DC55DC" w:rsidRDefault="00421F62" w:rsidP="00421F62">
            <w:pPr>
              <w:pStyle w:val="ListParagraph"/>
              <w:numPr>
                <w:ilvl w:val="0"/>
                <w:numId w:val="39"/>
              </w:numPr>
              <w:spacing w:line="360" w:lineRule="auto"/>
              <w:jc w:val="both"/>
              <w:rPr>
                <w:rFonts w:eastAsiaTheme="minorHAnsi" w:cs="Times New Roman"/>
                <w:sz w:val="20"/>
                <w:lang w:eastAsia="en-US"/>
              </w:rPr>
            </w:pPr>
            <w:r w:rsidRPr="00DC55DC">
              <w:rPr>
                <w:rFonts w:eastAsiaTheme="minorHAnsi" w:cs="Times New Roman"/>
                <w:sz w:val="20"/>
                <w:lang w:eastAsia="en-US"/>
              </w:rPr>
              <w:t>201415</w:t>
            </w:r>
          </w:p>
        </w:tc>
        <w:tc>
          <w:tcPr>
            <w:tcW w:w="2127" w:type="dxa"/>
            <w:gridSpan w:val="2"/>
            <w:vAlign w:val="bottom"/>
          </w:tcPr>
          <w:p w14:paraId="73BE194E" w14:textId="42ABF3C6" w:rsidR="00421F62" w:rsidRPr="00DC55DC" w:rsidRDefault="00421F62" w:rsidP="00421F62">
            <w:pPr>
              <w:rPr>
                <w:sz w:val="20"/>
                <w:szCs w:val="20"/>
              </w:rPr>
            </w:pPr>
            <w:r>
              <w:rPr>
                <w:rFonts w:ascii="Calibri" w:hAnsi="Calibri"/>
                <w:color w:val="000000"/>
                <w:sz w:val="22"/>
              </w:rPr>
              <w:t>0.5015</w:t>
            </w:r>
          </w:p>
        </w:tc>
        <w:tc>
          <w:tcPr>
            <w:tcW w:w="1141" w:type="dxa"/>
            <w:gridSpan w:val="2"/>
            <w:vAlign w:val="bottom"/>
          </w:tcPr>
          <w:p w14:paraId="5EDDB128" w14:textId="643EB6A8" w:rsidR="00421F62" w:rsidRPr="00DC55DC" w:rsidRDefault="00421F62" w:rsidP="00421F62">
            <w:pPr>
              <w:rPr>
                <w:sz w:val="20"/>
                <w:szCs w:val="20"/>
              </w:rPr>
            </w:pPr>
            <w:r>
              <w:rPr>
                <w:rFonts w:ascii="Calibri" w:hAnsi="Calibri"/>
                <w:color w:val="000000"/>
                <w:sz w:val="22"/>
              </w:rPr>
              <w:t>0.0518</w:t>
            </w:r>
          </w:p>
        </w:tc>
        <w:tc>
          <w:tcPr>
            <w:tcW w:w="1781" w:type="dxa"/>
            <w:gridSpan w:val="2"/>
            <w:vAlign w:val="bottom"/>
          </w:tcPr>
          <w:p w14:paraId="75F3E5D5" w14:textId="7500727F" w:rsidR="00421F62" w:rsidRPr="00DC55DC" w:rsidRDefault="00421F62" w:rsidP="00421F62">
            <w:pPr>
              <w:rPr>
                <w:sz w:val="20"/>
                <w:szCs w:val="20"/>
              </w:rPr>
            </w:pPr>
            <w:r>
              <w:rPr>
                <w:rFonts w:ascii="Calibri" w:hAnsi="Calibri"/>
                <w:color w:val="000000"/>
                <w:sz w:val="22"/>
              </w:rPr>
              <w:t>1.651</w:t>
            </w:r>
          </w:p>
        </w:tc>
      </w:tr>
      <w:tr w:rsidR="00421F62" w14:paraId="1695EA85" w14:textId="77777777" w:rsidTr="00421F62">
        <w:trPr>
          <w:trHeight w:hRule="exact" w:val="340"/>
        </w:trPr>
        <w:tc>
          <w:tcPr>
            <w:tcW w:w="3964" w:type="dxa"/>
            <w:gridSpan w:val="2"/>
          </w:tcPr>
          <w:p w14:paraId="622F5CD3" w14:textId="4791C356" w:rsidR="00421F62" w:rsidRPr="00DC55DC" w:rsidRDefault="00421F62" w:rsidP="00421F62">
            <w:pPr>
              <w:spacing w:line="360" w:lineRule="auto"/>
              <w:jc w:val="both"/>
              <w:rPr>
                <w:rFonts w:eastAsiaTheme="minorHAnsi" w:cs="Times New Roman"/>
                <w:sz w:val="20"/>
                <w:lang w:eastAsia="en-US"/>
              </w:rPr>
            </w:pPr>
            <w:r>
              <w:rPr>
                <w:rFonts w:eastAsiaTheme="minorHAnsi" w:cs="Times New Roman"/>
                <w:sz w:val="20"/>
                <w:lang w:eastAsia="en-US"/>
              </w:rPr>
              <w:t>Died in hospital within the admission</w:t>
            </w:r>
          </w:p>
        </w:tc>
        <w:tc>
          <w:tcPr>
            <w:tcW w:w="2127" w:type="dxa"/>
            <w:gridSpan w:val="2"/>
            <w:vAlign w:val="bottom"/>
          </w:tcPr>
          <w:p w14:paraId="4E09089B" w14:textId="69EA6042" w:rsidR="00421F62" w:rsidRPr="00DC55DC" w:rsidRDefault="00421F62" w:rsidP="00421F62">
            <w:pPr>
              <w:rPr>
                <w:sz w:val="20"/>
                <w:szCs w:val="20"/>
              </w:rPr>
            </w:pPr>
            <w:r>
              <w:rPr>
                <w:rFonts w:ascii="Calibri" w:hAnsi="Calibri"/>
                <w:color w:val="000000"/>
                <w:sz w:val="22"/>
              </w:rPr>
              <w:t>-0.1541</w:t>
            </w:r>
          </w:p>
        </w:tc>
        <w:tc>
          <w:tcPr>
            <w:tcW w:w="1141" w:type="dxa"/>
            <w:gridSpan w:val="2"/>
            <w:vAlign w:val="bottom"/>
          </w:tcPr>
          <w:p w14:paraId="4B9C091C" w14:textId="265EF5B5" w:rsidR="00421F62" w:rsidRPr="00DC55DC" w:rsidRDefault="00421F62" w:rsidP="00421F62">
            <w:pPr>
              <w:rPr>
                <w:sz w:val="20"/>
                <w:szCs w:val="20"/>
              </w:rPr>
            </w:pPr>
            <w:r>
              <w:rPr>
                <w:rFonts w:ascii="Calibri" w:hAnsi="Calibri"/>
                <w:color w:val="000000"/>
                <w:sz w:val="22"/>
              </w:rPr>
              <w:t>0.0279</w:t>
            </w:r>
          </w:p>
        </w:tc>
        <w:tc>
          <w:tcPr>
            <w:tcW w:w="1781" w:type="dxa"/>
            <w:gridSpan w:val="2"/>
            <w:vAlign w:val="bottom"/>
          </w:tcPr>
          <w:p w14:paraId="406523CB" w14:textId="722ED64A" w:rsidR="00421F62" w:rsidRPr="00DC55DC" w:rsidRDefault="00421F62" w:rsidP="00421F62">
            <w:pPr>
              <w:rPr>
                <w:sz w:val="20"/>
                <w:szCs w:val="20"/>
              </w:rPr>
            </w:pPr>
            <w:r>
              <w:rPr>
                <w:rFonts w:ascii="Calibri" w:hAnsi="Calibri"/>
                <w:color w:val="000000"/>
                <w:sz w:val="22"/>
              </w:rPr>
              <w:t>0.857</w:t>
            </w:r>
          </w:p>
        </w:tc>
      </w:tr>
      <w:tr w:rsidR="00421F62" w14:paraId="45036990" w14:textId="77777777" w:rsidTr="00421F62">
        <w:trPr>
          <w:trHeight w:hRule="exact" w:val="340"/>
        </w:trPr>
        <w:tc>
          <w:tcPr>
            <w:tcW w:w="3964" w:type="dxa"/>
            <w:gridSpan w:val="2"/>
          </w:tcPr>
          <w:p w14:paraId="5D100ED7" w14:textId="6F210855" w:rsidR="00421F62" w:rsidRPr="00DC55DC" w:rsidRDefault="00421F62" w:rsidP="00421F62">
            <w:pPr>
              <w:spacing w:line="360" w:lineRule="auto"/>
              <w:jc w:val="both"/>
              <w:rPr>
                <w:rFonts w:eastAsiaTheme="minorHAnsi" w:cs="Times New Roman"/>
                <w:sz w:val="20"/>
                <w:lang w:eastAsia="en-US"/>
              </w:rPr>
            </w:pPr>
            <w:r w:rsidRPr="00DC55DC">
              <w:rPr>
                <w:rFonts w:eastAsiaTheme="minorHAnsi" w:cs="Times New Roman"/>
                <w:sz w:val="20"/>
                <w:lang w:eastAsia="en-US"/>
              </w:rPr>
              <w:t>IMD</w:t>
            </w:r>
            <w:r>
              <w:rPr>
                <w:rFonts w:eastAsiaTheme="minorHAnsi" w:cs="Times New Roman"/>
                <w:sz w:val="20"/>
                <w:lang w:eastAsia="en-US"/>
              </w:rPr>
              <w:t xml:space="preserve"> (continuous between 0 and 100)</w:t>
            </w:r>
          </w:p>
        </w:tc>
        <w:tc>
          <w:tcPr>
            <w:tcW w:w="2127" w:type="dxa"/>
            <w:gridSpan w:val="2"/>
            <w:vAlign w:val="bottom"/>
          </w:tcPr>
          <w:p w14:paraId="4C163FD9" w14:textId="6DE90C92" w:rsidR="00421F62" w:rsidRPr="00DC55DC" w:rsidRDefault="00421F62" w:rsidP="00421F62">
            <w:pPr>
              <w:rPr>
                <w:sz w:val="20"/>
                <w:szCs w:val="20"/>
              </w:rPr>
            </w:pPr>
            <w:r>
              <w:rPr>
                <w:rFonts w:ascii="Calibri" w:hAnsi="Calibri"/>
                <w:color w:val="000000"/>
                <w:sz w:val="22"/>
              </w:rPr>
              <w:t>0.0020</w:t>
            </w:r>
          </w:p>
        </w:tc>
        <w:tc>
          <w:tcPr>
            <w:tcW w:w="1141" w:type="dxa"/>
            <w:gridSpan w:val="2"/>
            <w:vAlign w:val="bottom"/>
          </w:tcPr>
          <w:p w14:paraId="0C9C3756" w14:textId="6E74CDEE" w:rsidR="00421F62" w:rsidRPr="00DC55DC" w:rsidRDefault="00421F62" w:rsidP="00421F62">
            <w:pPr>
              <w:rPr>
                <w:sz w:val="20"/>
                <w:szCs w:val="20"/>
              </w:rPr>
            </w:pPr>
            <w:r>
              <w:rPr>
                <w:rFonts w:ascii="Calibri" w:hAnsi="Calibri"/>
                <w:color w:val="000000"/>
                <w:sz w:val="22"/>
              </w:rPr>
              <w:t>0.0009</w:t>
            </w:r>
          </w:p>
        </w:tc>
        <w:tc>
          <w:tcPr>
            <w:tcW w:w="1781" w:type="dxa"/>
            <w:gridSpan w:val="2"/>
            <w:vAlign w:val="bottom"/>
          </w:tcPr>
          <w:p w14:paraId="025F0403" w14:textId="6946B299" w:rsidR="00421F62" w:rsidRPr="00DC55DC" w:rsidRDefault="00421F62" w:rsidP="00421F62">
            <w:pPr>
              <w:rPr>
                <w:sz w:val="20"/>
                <w:szCs w:val="20"/>
              </w:rPr>
            </w:pPr>
            <w:r>
              <w:rPr>
                <w:rFonts w:ascii="Calibri" w:hAnsi="Calibri"/>
                <w:color w:val="000000"/>
                <w:sz w:val="22"/>
              </w:rPr>
              <w:t>1.002</w:t>
            </w:r>
          </w:p>
        </w:tc>
      </w:tr>
      <w:tr w:rsidR="00421F62" w14:paraId="26C2199E" w14:textId="77777777" w:rsidTr="00421F62">
        <w:trPr>
          <w:trHeight w:hRule="exact" w:val="340"/>
        </w:trPr>
        <w:tc>
          <w:tcPr>
            <w:tcW w:w="3964" w:type="dxa"/>
            <w:gridSpan w:val="2"/>
          </w:tcPr>
          <w:p w14:paraId="5527823E" w14:textId="6ACBAC1C" w:rsidR="00421F62" w:rsidRPr="00DC55DC" w:rsidRDefault="00421F62" w:rsidP="00421F62">
            <w:pPr>
              <w:spacing w:line="360" w:lineRule="auto"/>
              <w:jc w:val="both"/>
              <w:rPr>
                <w:rFonts w:eastAsiaTheme="minorHAnsi" w:cs="Times New Roman"/>
                <w:sz w:val="20"/>
                <w:lang w:eastAsia="en-US"/>
              </w:rPr>
            </w:pPr>
            <w:r w:rsidRPr="00DC55DC">
              <w:rPr>
                <w:rFonts w:eastAsiaTheme="minorHAnsi" w:cs="Times New Roman"/>
                <w:sz w:val="20"/>
                <w:lang w:eastAsia="en-US"/>
              </w:rPr>
              <w:t>MFF</w:t>
            </w:r>
            <w:r>
              <w:rPr>
                <w:rFonts w:eastAsiaTheme="minorHAnsi" w:cs="Times New Roman"/>
                <w:sz w:val="20"/>
                <w:lang w:eastAsia="en-US"/>
              </w:rPr>
              <w:t xml:space="preserve"> index of the hospital</w:t>
            </w:r>
          </w:p>
        </w:tc>
        <w:tc>
          <w:tcPr>
            <w:tcW w:w="2127" w:type="dxa"/>
            <w:gridSpan w:val="2"/>
            <w:vAlign w:val="bottom"/>
          </w:tcPr>
          <w:p w14:paraId="67BC6AF3" w14:textId="1C1E2E18" w:rsidR="00421F62" w:rsidRPr="00DC55DC" w:rsidRDefault="00421F62" w:rsidP="00421F62">
            <w:pPr>
              <w:rPr>
                <w:sz w:val="20"/>
                <w:szCs w:val="20"/>
              </w:rPr>
            </w:pPr>
            <w:r>
              <w:rPr>
                <w:rFonts w:ascii="Calibri" w:hAnsi="Calibri"/>
                <w:color w:val="000000"/>
                <w:sz w:val="22"/>
              </w:rPr>
              <w:t>2.0187</w:t>
            </w:r>
          </w:p>
        </w:tc>
        <w:tc>
          <w:tcPr>
            <w:tcW w:w="1141" w:type="dxa"/>
            <w:gridSpan w:val="2"/>
            <w:vAlign w:val="bottom"/>
          </w:tcPr>
          <w:p w14:paraId="425FD1BB" w14:textId="086EAFA9" w:rsidR="00421F62" w:rsidRPr="00DC55DC" w:rsidRDefault="00421F62" w:rsidP="00421F62">
            <w:pPr>
              <w:rPr>
                <w:sz w:val="20"/>
                <w:szCs w:val="20"/>
              </w:rPr>
            </w:pPr>
            <w:r>
              <w:rPr>
                <w:rFonts w:ascii="Calibri" w:hAnsi="Calibri"/>
                <w:color w:val="000000"/>
                <w:sz w:val="22"/>
              </w:rPr>
              <w:t>0.2141</w:t>
            </w:r>
          </w:p>
        </w:tc>
        <w:tc>
          <w:tcPr>
            <w:tcW w:w="1781" w:type="dxa"/>
            <w:gridSpan w:val="2"/>
            <w:vAlign w:val="bottom"/>
          </w:tcPr>
          <w:p w14:paraId="534F5D7B" w14:textId="731879C9" w:rsidR="00421F62" w:rsidRPr="00DC55DC" w:rsidRDefault="00421F62" w:rsidP="00421F62">
            <w:pPr>
              <w:rPr>
                <w:sz w:val="20"/>
                <w:szCs w:val="20"/>
              </w:rPr>
            </w:pPr>
            <w:r>
              <w:rPr>
                <w:rFonts w:ascii="Calibri" w:hAnsi="Calibri"/>
                <w:color w:val="000000"/>
                <w:sz w:val="22"/>
              </w:rPr>
              <w:t>7.529</w:t>
            </w:r>
          </w:p>
        </w:tc>
      </w:tr>
      <w:tr w:rsidR="00421F62" w14:paraId="27376947" w14:textId="77777777" w:rsidTr="00421F62">
        <w:trPr>
          <w:trHeight w:hRule="exact" w:val="340"/>
        </w:trPr>
        <w:tc>
          <w:tcPr>
            <w:tcW w:w="3964" w:type="dxa"/>
            <w:gridSpan w:val="2"/>
          </w:tcPr>
          <w:p w14:paraId="04F31720" w14:textId="1A595FD0" w:rsidR="00421F62" w:rsidRPr="00DC55DC" w:rsidRDefault="00421F62" w:rsidP="00421F62">
            <w:pPr>
              <w:spacing w:line="360" w:lineRule="auto"/>
              <w:jc w:val="both"/>
              <w:rPr>
                <w:rFonts w:eastAsiaTheme="minorHAnsi" w:cs="Times New Roman"/>
                <w:sz w:val="20"/>
                <w:lang w:eastAsia="en-US"/>
              </w:rPr>
            </w:pPr>
            <w:r>
              <w:rPr>
                <w:rFonts w:eastAsiaTheme="minorHAnsi" w:cs="Times New Roman"/>
                <w:sz w:val="20"/>
                <w:lang w:eastAsia="en-US"/>
              </w:rPr>
              <w:t xml:space="preserve">Having </w:t>
            </w:r>
            <w:r w:rsidRPr="00DC55DC">
              <w:rPr>
                <w:rFonts w:eastAsiaTheme="minorHAnsi" w:cs="Times New Roman"/>
                <w:sz w:val="20"/>
                <w:lang w:eastAsia="en-US"/>
              </w:rPr>
              <w:t>COPD</w:t>
            </w:r>
          </w:p>
        </w:tc>
        <w:tc>
          <w:tcPr>
            <w:tcW w:w="2127" w:type="dxa"/>
            <w:gridSpan w:val="2"/>
            <w:vAlign w:val="bottom"/>
          </w:tcPr>
          <w:p w14:paraId="7CCAC8DD" w14:textId="02F73D75" w:rsidR="00421F62" w:rsidRPr="00DC55DC" w:rsidRDefault="00421F62" w:rsidP="00421F62">
            <w:pPr>
              <w:rPr>
                <w:sz w:val="20"/>
                <w:szCs w:val="20"/>
              </w:rPr>
            </w:pPr>
            <w:r>
              <w:rPr>
                <w:rFonts w:ascii="Calibri" w:hAnsi="Calibri"/>
                <w:color w:val="000000"/>
                <w:sz w:val="22"/>
              </w:rPr>
              <w:t>0.0957</w:t>
            </w:r>
          </w:p>
        </w:tc>
        <w:tc>
          <w:tcPr>
            <w:tcW w:w="1141" w:type="dxa"/>
            <w:gridSpan w:val="2"/>
            <w:vAlign w:val="bottom"/>
          </w:tcPr>
          <w:p w14:paraId="0A88C6DE" w14:textId="4FBBF281" w:rsidR="00421F62" w:rsidRPr="00DC55DC" w:rsidRDefault="00421F62" w:rsidP="00421F62">
            <w:pPr>
              <w:rPr>
                <w:sz w:val="20"/>
                <w:szCs w:val="20"/>
              </w:rPr>
            </w:pPr>
            <w:r>
              <w:rPr>
                <w:rFonts w:ascii="Calibri" w:hAnsi="Calibri"/>
                <w:color w:val="000000"/>
                <w:sz w:val="22"/>
              </w:rPr>
              <w:t>0.0321</w:t>
            </w:r>
          </w:p>
        </w:tc>
        <w:tc>
          <w:tcPr>
            <w:tcW w:w="1781" w:type="dxa"/>
            <w:gridSpan w:val="2"/>
            <w:vAlign w:val="bottom"/>
          </w:tcPr>
          <w:p w14:paraId="4565BF79" w14:textId="1528146D" w:rsidR="00421F62" w:rsidRPr="00DC55DC" w:rsidRDefault="00421F62" w:rsidP="00421F62">
            <w:pPr>
              <w:rPr>
                <w:sz w:val="20"/>
                <w:szCs w:val="20"/>
              </w:rPr>
            </w:pPr>
            <w:r>
              <w:rPr>
                <w:rFonts w:ascii="Calibri" w:hAnsi="Calibri"/>
                <w:color w:val="000000"/>
                <w:sz w:val="22"/>
              </w:rPr>
              <w:t>1.100</w:t>
            </w:r>
          </w:p>
        </w:tc>
      </w:tr>
      <w:tr w:rsidR="00421F62" w14:paraId="76D3D000" w14:textId="77777777" w:rsidTr="00421F62">
        <w:trPr>
          <w:trHeight w:hRule="exact" w:val="340"/>
        </w:trPr>
        <w:tc>
          <w:tcPr>
            <w:tcW w:w="3964" w:type="dxa"/>
            <w:gridSpan w:val="2"/>
          </w:tcPr>
          <w:p w14:paraId="014DD15D" w14:textId="43FE7AB4" w:rsidR="00421F62" w:rsidRPr="00DC55DC" w:rsidRDefault="00421F62" w:rsidP="00421F62">
            <w:pPr>
              <w:spacing w:line="360" w:lineRule="auto"/>
              <w:jc w:val="both"/>
              <w:rPr>
                <w:rFonts w:eastAsiaTheme="minorHAnsi" w:cs="Times New Roman"/>
                <w:sz w:val="20"/>
                <w:lang w:eastAsia="en-US"/>
              </w:rPr>
            </w:pPr>
            <w:r>
              <w:rPr>
                <w:rFonts w:eastAsiaTheme="minorHAnsi" w:cs="Times New Roman"/>
                <w:sz w:val="20"/>
                <w:lang w:eastAsia="en-US"/>
              </w:rPr>
              <w:t xml:space="preserve">Having </w:t>
            </w:r>
            <w:r w:rsidRPr="00DC55DC">
              <w:rPr>
                <w:rFonts w:eastAsiaTheme="minorHAnsi" w:cs="Times New Roman"/>
                <w:sz w:val="20"/>
                <w:lang w:eastAsia="en-US"/>
              </w:rPr>
              <w:t>Moderate/Severe Liver Disease</w:t>
            </w:r>
          </w:p>
        </w:tc>
        <w:tc>
          <w:tcPr>
            <w:tcW w:w="2127" w:type="dxa"/>
            <w:gridSpan w:val="2"/>
            <w:vAlign w:val="bottom"/>
          </w:tcPr>
          <w:p w14:paraId="216589E5" w14:textId="2A45DC44" w:rsidR="00421F62" w:rsidRPr="00DC55DC" w:rsidRDefault="00421F62" w:rsidP="00421F62">
            <w:pPr>
              <w:rPr>
                <w:sz w:val="20"/>
                <w:szCs w:val="20"/>
              </w:rPr>
            </w:pPr>
            <w:r>
              <w:rPr>
                <w:rFonts w:ascii="Calibri" w:hAnsi="Calibri"/>
                <w:color w:val="000000"/>
                <w:sz w:val="22"/>
              </w:rPr>
              <w:t>0.2412</w:t>
            </w:r>
          </w:p>
        </w:tc>
        <w:tc>
          <w:tcPr>
            <w:tcW w:w="1141" w:type="dxa"/>
            <w:gridSpan w:val="2"/>
            <w:vAlign w:val="bottom"/>
          </w:tcPr>
          <w:p w14:paraId="4F67D701" w14:textId="44E913B0" w:rsidR="00421F62" w:rsidRPr="00DC55DC" w:rsidRDefault="00421F62" w:rsidP="00421F62">
            <w:pPr>
              <w:rPr>
                <w:sz w:val="20"/>
                <w:szCs w:val="20"/>
              </w:rPr>
            </w:pPr>
            <w:r>
              <w:rPr>
                <w:rFonts w:ascii="Calibri" w:hAnsi="Calibri"/>
                <w:color w:val="000000"/>
                <w:sz w:val="22"/>
              </w:rPr>
              <w:t>0.1082</w:t>
            </w:r>
          </w:p>
        </w:tc>
        <w:tc>
          <w:tcPr>
            <w:tcW w:w="1781" w:type="dxa"/>
            <w:gridSpan w:val="2"/>
            <w:vAlign w:val="bottom"/>
          </w:tcPr>
          <w:p w14:paraId="4A78FFC9" w14:textId="66D99948" w:rsidR="00421F62" w:rsidRPr="00DC55DC" w:rsidRDefault="00421F62" w:rsidP="00421F62">
            <w:pPr>
              <w:rPr>
                <w:sz w:val="20"/>
                <w:szCs w:val="20"/>
              </w:rPr>
            </w:pPr>
            <w:r>
              <w:rPr>
                <w:rFonts w:ascii="Calibri" w:hAnsi="Calibri"/>
                <w:color w:val="000000"/>
                <w:sz w:val="22"/>
              </w:rPr>
              <w:t>1.273</w:t>
            </w:r>
          </w:p>
        </w:tc>
      </w:tr>
      <w:tr w:rsidR="00421F62" w:rsidRPr="00434574" w14:paraId="35B3C6B3" w14:textId="77777777" w:rsidTr="00421F62">
        <w:trPr>
          <w:trHeight w:hRule="exact" w:val="340"/>
        </w:trPr>
        <w:tc>
          <w:tcPr>
            <w:tcW w:w="3964" w:type="dxa"/>
            <w:gridSpan w:val="2"/>
          </w:tcPr>
          <w:p w14:paraId="52F7572F" w14:textId="13E40619" w:rsidR="00421F62" w:rsidRPr="00434574" w:rsidRDefault="00421F62" w:rsidP="00421F62">
            <w:pPr>
              <w:spacing w:line="360" w:lineRule="auto"/>
              <w:jc w:val="both"/>
              <w:rPr>
                <w:rFonts w:eastAsiaTheme="minorHAnsi" w:cs="Times New Roman"/>
                <w:color w:val="FF0000"/>
                <w:sz w:val="20"/>
                <w:lang w:eastAsia="en-US"/>
              </w:rPr>
            </w:pPr>
            <w:r>
              <w:rPr>
                <w:rFonts w:eastAsiaTheme="minorHAnsi" w:cs="Times New Roman"/>
                <w:color w:val="FF0000"/>
                <w:sz w:val="20"/>
                <w:lang w:eastAsia="en-US"/>
              </w:rPr>
              <w:t xml:space="preserve">Annual </w:t>
            </w:r>
            <w:r w:rsidRPr="00434574">
              <w:rPr>
                <w:rFonts w:eastAsiaTheme="minorHAnsi" w:cs="Times New Roman"/>
                <w:color w:val="FF0000"/>
                <w:sz w:val="20"/>
                <w:lang w:eastAsia="en-US"/>
              </w:rPr>
              <w:t>Volume of the hospital</w:t>
            </w:r>
          </w:p>
        </w:tc>
        <w:tc>
          <w:tcPr>
            <w:tcW w:w="2127" w:type="dxa"/>
            <w:gridSpan w:val="2"/>
            <w:vAlign w:val="bottom"/>
          </w:tcPr>
          <w:p w14:paraId="75D88BE6" w14:textId="25350BFC" w:rsidR="00421F62" w:rsidRPr="00434574" w:rsidRDefault="00421F62" w:rsidP="00421F62">
            <w:pPr>
              <w:rPr>
                <w:color w:val="FF0000"/>
                <w:sz w:val="20"/>
                <w:szCs w:val="20"/>
              </w:rPr>
            </w:pPr>
            <w:r>
              <w:rPr>
                <w:rFonts w:ascii="Calibri" w:hAnsi="Calibri"/>
                <w:color w:val="000000"/>
                <w:sz w:val="22"/>
              </w:rPr>
              <w:t>0.0010</w:t>
            </w:r>
          </w:p>
        </w:tc>
        <w:tc>
          <w:tcPr>
            <w:tcW w:w="1141" w:type="dxa"/>
            <w:gridSpan w:val="2"/>
            <w:vAlign w:val="bottom"/>
          </w:tcPr>
          <w:p w14:paraId="0F7BF0FE" w14:textId="128BEAEB" w:rsidR="00421F62" w:rsidRPr="00434574" w:rsidRDefault="00421F62" w:rsidP="00421F62">
            <w:pPr>
              <w:rPr>
                <w:color w:val="FF0000"/>
                <w:sz w:val="20"/>
                <w:szCs w:val="20"/>
              </w:rPr>
            </w:pPr>
            <w:r>
              <w:rPr>
                <w:rFonts w:ascii="Calibri" w:hAnsi="Calibri"/>
                <w:color w:val="000000"/>
                <w:sz w:val="22"/>
              </w:rPr>
              <w:t>0.0003</w:t>
            </w:r>
          </w:p>
        </w:tc>
        <w:tc>
          <w:tcPr>
            <w:tcW w:w="1781" w:type="dxa"/>
            <w:gridSpan w:val="2"/>
            <w:vAlign w:val="bottom"/>
          </w:tcPr>
          <w:p w14:paraId="3CEC6B5B" w14:textId="07BD0748" w:rsidR="00421F62" w:rsidRPr="00434574" w:rsidRDefault="00421F62" w:rsidP="00421F62">
            <w:pPr>
              <w:rPr>
                <w:color w:val="FF0000"/>
                <w:sz w:val="20"/>
                <w:szCs w:val="20"/>
              </w:rPr>
            </w:pPr>
            <w:r>
              <w:rPr>
                <w:rFonts w:ascii="Calibri" w:hAnsi="Calibri"/>
                <w:color w:val="000000"/>
                <w:sz w:val="22"/>
              </w:rPr>
              <w:t>1.001</w:t>
            </w:r>
          </w:p>
        </w:tc>
      </w:tr>
      <w:tr w:rsidR="00DC55DC" w14:paraId="4C5C8662" w14:textId="77777777" w:rsidTr="00421F62">
        <w:trPr>
          <w:gridAfter w:val="1"/>
          <w:wAfter w:w="1080" w:type="dxa"/>
        </w:trPr>
        <w:tc>
          <w:tcPr>
            <w:tcW w:w="3940" w:type="dxa"/>
            <w:vMerge w:val="restart"/>
            <w:vAlign w:val="center"/>
          </w:tcPr>
          <w:p w14:paraId="30C8286B" w14:textId="38EDF9FF" w:rsidR="00DC55DC" w:rsidRDefault="00D615F9" w:rsidP="00434574">
            <w:pPr>
              <w:spacing w:line="360" w:lineRule="auto"/>
              <w:jc w:val="center"/>
              <w:rPr>
                <w:rFonts w:eastAsiaTheme="minorHAnsi" w:cs="Times New Roman"/>
                <w:b/>
                <w:lang w:eastAsia="en-US"/>
              </w:rPr>
            </w:pPr>
            <w:r>
              <w:rPr>
                <w:rFonts w:eastAsiaTheme="minorHAnsi" w:cs="Times New Roman"/>
                <w:lang w:eastAsia="en-US"/>
              </w:rPr>
              <w:lastRenderedPageBreak/>
              <w:t xml:space="preserve">  </w:t>
            </w:r>
            <w:r w:rsidR="00DC55DC">
              <w:rPr>
                <w:rFonts w:eastAsiaTheme="minorHAnsi" w:cs="Times New Roman"/>
                <w:b/>
                <w:lang w:eastAsia="en-US"/>
              </w:rPr>
              <w:t xml:space="preserve">Model 2: </w:t>
            </w:r>
            <w:proofErr w:type="spellStart"/>
            <w:r w:rsidR="00DC55DC">
              <w:rPr>
                <w:rFonts w:eastAsiaTheme="minorHAnsi" w:cs="Times New Roman"/>
                <w:b/>
                <w:lang w:eastAsia="en-US"/>
              </w:rPr>
              <w:t>Nonrup</w:t>
            </w:r>
            <w:proofErr w:type="spellEnd"/>
            <w:r w:rsidR="00DC55DC">
              <w:rPr>
                <w:rFonts w:eastAsiaTheme="minorHAnsi" w:cs="Times New Roman"/>
                <w:b/>
                <w:lang w:eastAsia="en-US"/>
              </w:rPr>
              <w:t xml:space="preserve"> Emergency AAA</w:t>
            </w:r>
          </w:p>
          <w:p w14:paraId="09C36D09" w14:textId="77777777" w:rsidR="00DC55DC" w:rsidRPr="00DC55DC" w:rsidRDefault="00DC55DC" w:rsidP="00434574">
            <w:pPr>
              <w:spacing w:line="360" w:lineRule="auto"/>
              <w:jc w:val="center"/>
              <w:rPr>
                <w:rFonts w:eastAsiaTheme="minorHAnsi" w:cs="Times New Roman"/>
                <w:lang w:eastAsia="en-US"/>
              </w:rPr>
            </w:pPr>
            <w:r w:rsidRPr="00DC55DC">
              <w:rPr>
                <w:rFonts w:eastAsiaTheme="minorHAnsi" w:cs="Times New Roman"/>
                <w:sz w:val="18"/>
                <w:lang w:eastAsia="en-US"/>
              </w:rPr>
              <w:t>(GLM with Gamma Distribution and Log Link)</w:t>
            </w:r>
          </w:p>
        </w:tc>
        <w:tc>
          <w:tcPr>
            <w:tcW w:w="3993" w:type="dxa"/>
            <w:gridSpan w:val="6"/>
          </w:tcPr>
          <w:p w14:paraId="293AB5C8" w14:textId="77777777" w:rsidR="00DC55DC" w:rsidRPr="00DC55DC" w:rsidRDefault="00DC55DC" w:rsidP="00434574">
            <w:pPr>
              <w:spacing w:line="360" w:lineRule="auto"/>
              <w:jc w:val="both"/>
              <w:rPr>
                <w:rFonts w:eastAsiaTheme="minorHAnsi" w:cs="Times New Roman"/>
                <w:sz w:val="20"/>
                <w:lang w:eastAsia="en-US"/>
              </w:rPr>
            </w:pPr>
            <w:r w:rsidRPr="00DC55DC">
              <w:rPr>
                <w:rFonts w:eastAsiaTheme="minorHAnsi" w:cs="Times New Roman"/>
                <w:sz w:val="20"/>
                <w:lang w:eastAsia="en-US"/>
              </w:rPr>
              <w:t>Predicting total cost of index episode</w:t>
            </w:r>
          </w:p>
        </w:tc>
      </w:tr>
      <w:tr w:rsidR="00DC55DC" w14:paraId="0CCC08F5" w14:textId="77777777" w:rsidTr="00421F62">
        <w:trPr>
          <w:gridAfter w:val="1"/>
          <w:wAfter w:w="1080" w:type="dxa"/>
        </w:trPr>
        <w:tc>
          <w:tcPr>
            <w:tcW w:w="3940" w:type="dxa"/>
            <w:vMerge/>
          </w:tcPr>
          <w:p w14:paraId="149C3772" w14:textId="77777777" w:rsidR="00DC55DC" w:rsidRDefault="00DC55DC" w:rsidP="00434574">
            <w:pPr>
              <w:spacing w:line="360" w:lineRule="auto"/>
              <w:jc w:val="both"/>
              <w:rPr>
                <w:rFonts w:eastAsiaTheme="minorHAnsi" w:cs="Times New Roman"/>
                <w:lang w:eastAsia="en-US"/>
              </w:rPr>
            </w:pPr>
          </w:p>
        </w:tc>
        <w:tc>
          <w:tcPr>
            <w:tcW w:w="1116" w:type="dxa"/>
            <w:gridSpan w:val="2"/>
          </w:tcPr>
          <w:p w14:paraId="4807BBB9" w14:textId="77777777" w:rsidR="00DC55DC" w:rsidRPr="00DC55DC" w:rsidRDefault="00DC55DC" w:rsidP="00434574">
            <w:pPr>
              <w:spacing w:line="360" w:lineRule="auto"/>
              <w:jc w:val="both"/>
              <w:rPr>
                <w:rFonts w:eastAsiaTheme="minorHAnsi" w:cs="Times New Roman"/>
                <w:sz w:val="20"/>
                <w:lang w:eastAsia="en-US"/>
              </w:rPr>
            </w:pPr>
            <w:r w:rsidRPr="00DC55DC">
              <w:rPr>
                <w:rFonts w:eastAsiaTheme="minorHAnsi" w:cs="Times New Roman"/>
                <w:sz w:val="20"/>
                <w:lang w:eastAsia="en-US"/>
              </w:rPr>
              <w:t>Coefficient</w:t>
            </w:r>
          </w:p>
        </w:tc>
        <w:tc>
          <w:tcPr>
            <w:tcW w:w="1176" w:type="dxa"/>
            <w:gridSpan w:val="2"/>
          </w:tcPr>
          <w:p w14:paraId="6BB98198" w14:textId="311907AC" w:rsidR="00DC55DC" w:rsidRPr="00DC55DC" w:rsidRDefault="00421F62" w:rsidP="00434574">
            <w:pPr>
              <w:spacing w:line="360" w:lineRule="auto"/>
              <w:jc w:val="center"/>
              <w:rPr>
                <w:rFonts w:eastAsiaTheme="minorHAnsi" w:cs="Times New Roman"/>
                <w:sz w:val="20"/>
                <w:lang w:eastAsia="en-US"/>
              </w:rPr>
            </w:pPr>
            <w:r>
              <w:rPr>
                <w:rFonts w:eastAsiaTheme="minorHAnsi" w:cs="Times New Roman"/>
                <w:sz w:val="20"/>
                <w:lang w:eastAsia="en-US"/>
              </w:rPr>
              <w:t>SE</w:t>
            </w:r>
          </w:p>
        </w:tc>
        <w:tc>
          <w:tcPr>
            <w:tcW w:w="1701" w:type="dxa"/>
            <w:gridSpan w:val="2"/>
          </w:tcPr>
          <w:p w14:paraId="46AD98CF" w14:textId="77777777" w:rsidR="00DC55DC" w:rsidRPr="00DC55DC" w:rsidRDefault="00DC55DC" w:rsidP="00434574">
            <w:pPr>
              <w:spacing w:line="360" w:lineRule="auto"/>
              <w:jc w:val="both"/>
              <w:rPr>
                <w:rFonts w:eastAsiaTheme="minorHAnsi" w:cs="Times New Roman"/>
                <w:sz w:val="20"/>
                <w:lang w:eastAsia="en-US"/>
              </w:rPr>
            </w:pPr>
            <w:r w:rsidRPr="00DC55DC">
              <w:rPr>
                <w:rFonts w:eastAsiaTheme="minorHAnsi" w:cs="Times New Roman"/>
                <w:sz w:val="20"/>
                <w:lang w:eastAsia="en-US"/>
              </w:rPr>
              <w:t>EXP of coefficient</w:t>
            </w:r>
          </w:p>
        </w:tc>
      </w:tr>
      <w:tr w:rsidR="00421F62" w14:paraId="4B6E4B2F" w14:textId="77777777" w:rsidTr="00421F62">
        <w:trPr>
          <w:gridAfter w:val="1"/>
          <w:wAfter w:w="1080" w:type="dxa"/>
          <w:trHeight w:hRule="exact" w:val="340"/>
        </w:trPr>
        <w:tc>
          <w:tcPr>
            <w:tcW w:w="3940" w:type="dxa"/>
          </w:tcPr>
          <w:p w14:paraId="0A80449F" w14:textId="77777777" w:rsidR="00421F62" w:rsidRPr="00DC55DC" w:rsidRDefault="00421F62" w:rsidP="00421F62">
            <w:pPr>
              <w:spacing w:line="360" w:lineRule="auto"/>
              <w:jc w:val="both"/>
              <w:rPr>
                <w:rFonts w:eastAsiaTheme="minorHAnsi" w:cs="Times New Roman"/>
                <w:sz w:val="20"/>
                <w:lang w:eastAsia="en-US"/>
              </w:rPr>
            </w:pPr>
            <w:r w:rsidRPr="00DC55DC">
              <w:rPr>
                <w:rFonts w:eastAsiaTheme="minorHAnsi" w:cs="Times New Roman"/>
                <w:sz w:val="20"/>
                <w:lang w:eastAsia="en-US"/>
              </w:rPr>
              <w:t>Intercept</w:t>
            </w:r>
          </w:p>
        </w:tc>
        <w:tc>
          <w:tcPr>
            <w:tcW w:w="1116" w:type="dxa"/>
            <w:gridSpan w:val="2"/>
            <w:vAlign w:val="bottom"/>
          </w:tcPr>
          <w:p w14:paraId="75D54247" w14:textId="6BF13E52" w:rsidR="00421F62" w:rsidRPr="00DC55DC" w:rsidRDefault="00421F62" w:rsidP="00421F62">
            <w:pPr>
              <w:rPr>
                <w:sz w:val="20"/>
                <w:szCs w:val="20"/>
              </w:rPr>
            </w:pPr>
            <w:r>
              <w:rPr>
                <w:rFonts w:ascii="Calibri" w:hAnsi="Calibri"/>
                <w:color w:val="000000"/>
                <w:sz w:val="22"/>
              </w:rPr>
              <w:t>6.0290</w:t>
            </w:r>
          </w:p>
        </w:tc>
        <w:tc>
          <w:tcPr>
            <w:tcW w:w="1176" w:type="dxa"/>
            <w:gridSpan w:val="2"/>
            <w:vAlign w:val="bottom"/>
          </w:tcPr>
          <w:p w14:paraId="115C98AE" w14:textId="501AA405" w:rsidR="00421F62" w:rsidRPr="00DC55DC" w:rsidRDefault="00421F62" w:rsidP="00421F62">
            <w:pPr>
              <w:rPr>
                <w:sz w:val="20"/>
                <w:szCs w:val="20"/>
              </w:rPr>
            </w:pPr>
            <w:r>
              <w:rPr>
                <w:rFonts w:ascii="Calibri" w:hAnsi="Calibri"/>
                <w:color w:val="000000"/>
                <w:sz w:val="22"/>
              </w:rPr>
              <w:t>0.2089</w:t>
            </w:r>
          </w:p>
        </w:tc>
        <w:tc>
          <w:tcPr>
            <w:tcW w:w="1701" w:type="dxa"/>
            <w:gridSpan w:val="2"/>
            <w:vAlign w:val="bottom"/>
          </w:tcPr>
          <w:p w14:paraId="1EEB7EDB" w14:textId="6301C46B" w:rsidR="00421F62" w:rsidRPr="00DC55DC" w:rsidRDefault="00421F62" w:rsidP="00421F62">
            <w:pPr>
              <w:rPr>
                <w:sz w:val="20"/>
                <w:szCs w:val="20"/>
              </w:rPr>
            </w:pPr>
            <w:r>
              <w:rPr>
                <w:rFonts w:ascii="Calibri" w:hAnsi="Calibri"/>
                <w:color w:val="000000"/>
                <w:sz w:val="22"/>
              </w:rPr>
              <w:t>415.2841</w:t>
            </w:r>
          </w:p>
        </w:tc>
      </w:tr>
      <w:tr w:rsidR="00421F62" w14:paraId="47D8A4BB" w14:textId="77777777" w:rsidTr="00421F62">
        <w:trPr>
          <w:gridAfter w:val="1"/>
          <w:wAfter w:w="1080" w:type="dxa"/>
          <w:trHeight w:hRule="exact" w:val="340"/>
        </w:trPr>
        <w:tc>
          <w:tcPr>
            <w:tcW w:w="3940" w:type="dxa"/>
          </w:tcPr>
          <w:p w14:paraId="614729AE" w14:textId="0E2F88C7" w:rsidR="00421F62" w:rsidRPr="00DC55DC" w:rsidRDefault="00421F62" w:rsidP="00421F62">
            <w:pPr>
              <w:spacing w:line="360" w:lineRule="auto"/>
              <w:jc w:val="both"/>
              <w:rPr>
                <w:rFonts w:eastAsiaTheme="minorHAnsi" w:cs="Times New Roman"/>
                <w:sz w:val="20"/>
                <w:lang w:eastAsia="en-US"/>
              </w:rPr>
            </w:pPr>
            <w:r>
              <w:rPr>
                <w:rFonts w:eastAsiaTheme="minorHAnsi" w:cs="Times New Roman"/>
                <w:sz w:val="20"/>
                <w:lang w:eastAsia="en-US"/>
              </w:rPr>
              <w:t xml:space="preserve">Having </w:t>
            </w:r>
            <w:r w:rsidRPr="00DC55DC">
              <w:rPr>
                <w:rFonts w:eastAsiaTheme="minorHAnsi" w:cs="Times New Roman"/>
                <w:sz w:val="20"/>
                <w:lang w:eastAsia="en-US"/>
              </w:rPr>
              <w:t>Open Repair</w:t>
            </w:r>
          </w:p>
        </w:tc>
        <w:tc>
          <w:tcPr>
            <w:tcW w:w="1116" w:type="dxa"/>
            <w:gridSpan w:val="2"/>
            <w:vAlign w:val="bottom"/>
          </w:tcPr>
          <w:p w14:paraId="0216EFBA" w14:textId="636BCDEE" w:rsidR="00421F62" w:rsidRPr="00DC55DC" w:rsidRDefault="00421F62" w:rsidP="00421F62">
            <w:pPr>
              <w:rPr>
                <w:sz w:val="20"/>
                <w:szCs w:val="20"/>
              </w:rPr>
            </w:pPr>
            <w:r>
              <w:rPr>
                <w:rFonts w:ascii="Calibri" w:hAnsi="Calibri"/>
                <w:color w:val="000000"/>
                <w:sz w:val="22"/>
              </w:rPr>
              <w:t>0.0574</w:t>
            </w:r>
          </w:p>
        </w:tc>
        <w:tc>
          <w:tcPr>
            <w:tcW w:w="1176" w:type="dxa"/>
            <w:gridSpan w:val="2"/>
            <w:vAlign w:val="bottom"/>
          </w:tcPr>
          <w:p w14:paraId="44F75B2E" w14:textId="49F99160" w:rsidR="00421F62" w:rsidRPr="00DC55DC" w:rsidRDefault="00421F62" w:rsidP="00421F62">
            <w:pPr>
              <w:rPr>
                <w:sz w:val="20"/>
                <w:szCs w:val="20"/>
              </w:rPr>
            </w:pPr>
            <w:r>
              <w:rPr>
                <w:rFonts w:ascii="Calibri" w:hAnsi="Calibri"/>
                <w:color w:val="000000"/>
                <w:sz w:val="22"/>
              </w:rPr>
              <w:t>0.0281</w:t>
            </w:r>
          </w:p>
        </w:tc>
        <w:tc>
          <w:tcPr>
            <w:tcW w:w="1701" w:type="dxa"/>
            <w:gridSpan w:val="2"/>
            <w:vAlign w:val="bottom"/>
          </w:tcPr>
          <w:p w14:paraId="0B7CA528" w14:textId="08B2C2F8" w:rsidR="00421F62" w:rsidRPr="00DC55DC" w:rsidRDefault="00421F62" w:rsidP="00421F62">
            <w:pPr>
              <w:rPr>
                <w:sz w:val="20"/>
                <w:szCs w:val="20"/>
              </w:rPr>
            </w:pPr>
            <w:r>
              <w:rPr>
                <w:rFonts w:ascii="Calibri" w:hAnsi="Calibri"/>
                <w:color w:val="000000"/>
                <w:sz w:val="22"/>
              </w:rPr>
              <w:t>1.0590</w:t>
            </w:r>
          </w:p>
        </w:tc>
      </w:tr>
      <w:tr w:rsidR="00421F62" w14:paraId="38BB53A7" w14:textId="77777777" w:rsidTr="00421F62">
        <w:trPr>
          <w:gridAfter w:val="1"/>
          <w:wAfter w:w="1080" w:type="dxa"/>
          <w:trHeight w:hRule="exact" w:val="340"/>
        </w:trPr>
        <w:tc>
          <w:tcPr>
            <w:tcW w:w="3940" w:type="dxa"/>
          </w:tcPr>
          <w:p w14:paraId="2059AF94" w14:textId="182F492B" w:rsidR="00421F62" w:rsidRDefault="00421F62" w:rsidP="00421F62">
            <w:pPr>
              <w:spacing w:line="360" w:lineRule="auto"/>
              <w:jc w:val="both"/>
              <w:rPr>
                <w:rFonts w:eastAsiaTheme="minorHAnsi" w:cs="Times New Roman"/>
                <w:sz w:val="20"/>
                <w:lang w:eastAsia="en-US"/>
              </w:rPr>
            </w:pPr>
            <w:r>
              <w:rPr>
                <w:rFonts w:eastAsiaTheme="minorHAnsi" w:cs="Times New Roman"/>
                <w:sz w:val="20"/>
                <w:lang w:eastAsia="en-US"/>
              </w:rPr>
              <w:t xml:space="preserve">HES year </w:t>
            </w:r>
          </w:p>
        </w:tc>
        <w:tc>
          <w:tcPr>
            <w:tcW w:w="1116" w:type="dxa"/>
            <w:gridSpan w:val="2"/>
            <w:vAlign w:val="bottom"/>
          </w:tcPr>
          <w:p w14:paraId="2BB1754B" w14:textId="77777777" w:rsidR="00421F62" w:rsidRDefault="00421F62" w:rsidP="00421F62">
            <w:pPr>
              <w:rPr>
                <w:rFonts w:ascii="Calibri" w:hAnsi="Calibri"/>
                <w:color w:val="000000"/>
                <w:sz w:val="22"/>
              </w:rPr>
            </w:pPr>
          </w:p>
        </w:tc>
        <w:tc>
          <w:tcPr>
            <w:tcW w:w="1176" w:type="dxa"/>
            <w:gridSpan w:val="2"/>
            <w:vAlign w:val="bottom"/>
          </w:tcPr>
          <w:p w14:paraId="51ED7E62" w14:textId="77777777" w:rsidR="00421F62" w:rsidRDefault="00421F62" w:rsidP="00421F62">
            <w:pPr>
              <w:rPr>
                <w:rFonts w:ascii="Calibri" w:hAnsi="Calibri"/>
                <w:color w:val="000000"/>
                <w:sz w:val="22"/>
              </w:rPr>
            </w:pPr>
          </w:p>
        </w:tc>
        <w:tc>
          <w:tcPr>
            <w:tcW w:w="1701" w:type="dxa"/>
            <w:gridSpan w:val="2"/>
            <w:vAlign w:val="bottom"/>
          </w:tcPr>
          <w:p w14:paraId="1F166206" w14:textId="77777777" w:rsidR="00421F62" w:rsidRDefault="00421F62" w:rsidP="00421F62">
            <w:pPr>
              <w:rPr>
                <w:rFonts w:ascii="Calibri" w:hAnsi="Calibri"/>
                <w:color w:val="000000"/>
                <w:sz w:val="22"/>
              </w:rPr>
            </w:pPr>
          </w:p>
        </w:tc>
      </w:tr>
      <w:tr w:rsidR="00421F62" w14:paraId="124B9F27" w14:textId="77777777" w:rsidTr="00B33E5C">
        <w:trPr>
          <w:gridAfter w:val="1"/>
          <w:wAfter w:w="1080" w:type="dxa"/>
          <w:trHeight w:hRule="exact" w:val="340"/>
        </w:trPr>
        <w:tc>
          <w:tcPr>
            <w:tcW w:w="3940" w:type="dxa"/>
          </w:tcPr>
          <w:p w14:paraId="4BA0BF5D" w14:textId="6916A5C0" w:rsidR="00421F62" w:rsidRPr="00421F62" w:rsidRDefault="00421F62" w:rsidP="00421F62">
            <w:pPr>
              <w:pStyle w:val="ListParagraph"/>
              <w:numPr>
                <w:ilvl w:val="0"/>
                <w:numId w:val="39"/>
              </w:numPr>
              <w:spacing w:line="360" w:lineRule="auto"/>
              <w:jc w:val="both"/>
              <w:rPr>
                <w:rFonts w:eastAsiaTheme="minorHAnsi" w:cs="Times New Roman"/>
                <w:sz w:val="20"/>
                <w:lang w:eastAsia="en-US"/>
              </w:rPr>
            </w:pPr>
            <w:r w:rsidRPr="00421F62">
              <w:rPr>
                <w:rFonts w:eastAsiaTheme="minorHAnsi" w:cs="Times New Roman"/>
                <w:sz w:val="20"/>
                <w:lang w:eastAsia="en-US"/>
              </w:rPr>
              <w:t>200809</w:t>
            </w:r>
          </w:p>
        </w:tc>
        <w:tc>
          <w:tcPr>
            <w:tcW w:w="1116" w:type="dxa"/>
            <w:gridSpan w:val="2"/>
          </w:tcPr>
          <w:p w14:paraId="70DA3430" w14:textId="24E19A42" w:rsidR="00421F62" w:rsidRDefault="00421F62" w:rsidP="00421F62">
            <w:pPr>
              <w:rPr>
                <w:rFonts w:ascii="Calibri" w:hAnsi="Calibri"/>
                <w:color w:val="000000"/>
                <w:sz w:val="22"/>
              </w:rPr>
            </w:pPr>
            <w:r>
              <w:rPr>
                <w:sz w:val="20"/>
                <w:szCs w:val="20"/>
              </w:rPr>
              <w:t>0</w:t>
            </w:r>
          </w:p>
        </w:tc>
        <w:tc>
          <w:tcPr>
            <w:tcW w:w="1176" w:type="dxa"/>
            <w:gridSpan w:val="2"/>
          </w:tcPr>
          <w:p w14:paraId="7E111ABB" w14:textId="7DE791D7" w:rsidR="00421F62" w:rsidRDefault="00421F62" w:rsidP="00421F62">
            <w:pPr>
              <w:rPr>
                <w:rFonts w:ascii="Calibri" w:hAnsi="Calibri"/>
                <w:color w:val="000000"/>
                <w:sz w:val="22"/>
              </w:rPr>
            </w:pPr>
            <w:r>
              <w:rPr>
                <w:sz w:val="20"/>
                <w:szCs w:val="20"/>
              </w:rPr>
              <w:t>0</w:t>
            </w:r>
          </w:p>
        </w:tc>
        <w:tc>
          <w:tcPr>
            <w:tcW w:w="1701" w:type="dxa"/>
            <w:gridSpan w:val="2"/>
          </w:tcPr>
          <w:p w14:paraId="713B7D87" w14:textId="37D2EA54" w:rsidR="00421F62" w:rsidRDefault="00421F62" w:rsidP="00421F62">
            <w:pPr>
              <w:rPr>
                <w:rFonts w:ascii="Calibri" w:hAnsi="Calibri"/>
                <w:color w:val="000000"/>
                <w:sz w:val="22"/>
              </w:rPr>
            </w:pPr>
            <w:r>
              <w:rPr>
                <w:sz w:val="20"/>
                <w:szCs w:val="20"/>
              </w:rPr>
              <w:t>1</w:t>
            </w:r>
          </w:p>
        </w:tc>
      </w:tr>
      <w:tr w:rsidR="00421F62" w14:paraId="335DDFCB" w14:textId="77777777" w:rsidTr="00421F62">
        <w:trPr>
          <w:gridAfter w:val="1"/>
          <w:wAfter w:w="1080" w:type="dxa"/>
          <w:trHeight w:hRule="exact" w:val="340"/>
        </w:trPr>
        <w:tc>
          <w:tcPr>
            <w:tcW w:w="3940" w:type="dxa"/>
          </w:tcPr>
          <w:p w14:paraId="24B96472" w14:textId="77777777" w:rsidR="00421F62" w:rsidRPr="00DC55DC" w:rsidRDefault="00421F62" w:rsidP="00421F62">
            <w:pPr>
              <w:pStyle w:val="ListParagraph"/>
              <w:numPr>
                <w:ilvl w:val="0"/>
                <w:numId w:val="39"/>
              </w:numPr>
              <w:spacing w:line="360" w:lineRule="auto"/>
              <w:jc w:val="both"/>
              <w:rPr>
                <w:rFonts w:eastAsiaTheme="minorHAnsi" w:cs="Times New Roman"/>
                <w:sz w:val="20"/>
                <w:lang w:eastAsia="en-US"/>
              </w:rPr>
            </w:pPr>
            <w:r w:rsidRPr="00DC55DC">
              <w:rPr>
                <w:rFonts w:eastAsiaTheme="minorHAnsi" w:cs="Times New Roman"/>
                <w:sz w:val="20"/>
                <w:lang w:eastAsia="en-US"/>
              </w:rPr>
              <w:t>200910</w:t>
            </w:r>
          </w:p>
        </w:tc>
        <w:tc>
          <w:tcPr>
            <w:tcW w:w="1116" w:type="dxa"/>
            <w:gridSpan w:val="2"/>
            <w:vAlign w:val="bottom"/>
          </w:tcPr>
          <w:p w14:paraId="774F39F5" w14:textId="02DB0452" w:rsidR="00421F62" w:rsidRPr="00DC55DC" w:rsidRDefault="00421F62" w:rsidP="00421F62">
            <w:pPr>
              <w:rPr>
                <w:sz w:val="20"/>
                <w:szCs w:val="20"/>
              </w:rPr>
            </w:pPr>
            <w:r>
              <w:rPr>
                <w:rFonts w:ascii="Calibri" w:hAnsi="Calibri"/>
                <w:color w:val="000000"/>
                <w:sz w:val="22"/>
              </w:rPr>
              <w:t>0.1079</w:t>
            </w:r>
          </w:p>
        </w:tc>
        <w:tc>
          <w:tcPr>
            <w:tcW w:w="1176" w:type="dxa"/>
            <w:gridSpan w:val="2"/>
            <w:vAlign w:val="bottom"/>
          </w:tcPr>
          <w:p w14:paraId="356F7653" w14:textId="1460F25B" w:rsidR="00421F62" w:rsidRPr="00DC55DC" w:rsidRDefault="00421F62" w:rsidP="00421F62">
            <w:pPr>
              <w:rPr>
                <w:sz w:val="20"/>
                <w:szCs w:val="20"/>
              </w:rPr>
            </w:pPr>
            <w:r>
              <w:rPr>
                <w:rFonts w:ascii="Calibri" w:hAnsi="Calibri"/>
                <w:color w:val="000000"/>
                <w:sz w:val="22"/>
              </w:rPr>
              <w:t>0.0482</w:t>
            </w:r>
          </w:p>
        </w:tc>
        <w:tc>
          <w:tcPr>
            <w:tcW w:w="1701" w:type="dxa"/>
            <w:gridSpan w:val="2"/>
            <w:vAlign w:val="bottom"/>
          </w:tcPr>
          <w:p w14:paraId="78E63A77" w14:textId="6D51FCD7" w:rsidR="00421F62" w:rsidRPr="00DC55DC" w:rsidRDefault="00421F62" w:rsidP="00421F62">
            <w:pPr>
              <w:rPr>
                <w:sz w:val="20"/>
                <w:szCs w:val="20"/>
              </w:rPr>
            </w:pPr>
            <w:r>
              <w:rPr>
                <w:rFonts w:ascii="Calibri" w:hAnsi="Calibri"/>
                <w:color w:val="000000"/>
                <w:sz w:val="22"/>
              </w:rPr>
              <w:t>1.1140</w:t>
            </w:r>
          </w:p>
        </w:tc>
      </w:tr>
      <w:tr w:rsidR="00421F62" w14:paraId="6AD5853C" w14:textId="77777777" w:rsidTr="00421F62">
        <w:trPr>
          <w:gridAfter w:val="1"/>
          <w:wAfter w:w="1080" w:type="dxa"/>
          <w:trHeight w:hRule="exact" w:val="340"/>
        </w:trPr>
        <w:tc>
          <w:tcPr>
            <w:tcW w:w="3940" w:type="dxa"/>
          </w:tcPr>
          <w:p w14:paraId="335F2C43" w14:textId="77777777" w:rsidR="00421F62" w:rsidRPr="00DC55DC" w:rsidRDefault="00421F62" w:rsidP="00421F62">
            <w:pPr>
              <w:pStyle w:val="ListParagraph"/>
              <w:numPr>
                <w:ilvl w:val="0"/>
                <w:numId w:val="39"/>
              </w:numPr>
              <w:spacing w:line="360" w:lineRule="auto"/>
              <w:jc w:val="both"/>
              <w:rPr>
                <w:rFonts w:eastAsiaTheme="minorHAnsi" w:cs="Times New Roman"/>
                <w:sz w:val="20"/>
                <w:lang w:eastAsia="en-US"/>
              </w:rPr>
            </w:pPr>
            <w:r w:rsidRPr="00DC55DC">
              <w:rPr>
                <w:rFonts w:eastAsiaTheme="minorHAnsi" w:cs="Times New Roman"/>
                <w:sz w:val="20"/>
                <w:lang w:eastAsia="en-US"/>
              </w:rPr>
              <w:t>201011</w:t>
            </w:r>
          </w:p>
        </w:tc>
        <w:tc>
          <w:tcPr>
            <w:tcW w:w="1116" w:type="dxa"/>
            <w:gridSpan w:val="2"/>
            <w:vAlign w:val="bottom"/>
          </w:tcPr>
          <w:p w14:paraId="6531E50C" w14:textId="7D94D58F" w:rsidR="00421F62" w:rsidRPr="00DC55DC" w:rsidRDefault="00421F62" w:rsidP="00421F62">
            <w:pPr>
              <w:rPr>
                <w:sz w:val="20"/>
                <w:szCs w:val="20"/>
              </w:rPr>
            </w:pPr>
            <w:r>
              <w:rPr>
                <w:rFonts w:ascii="Calibri" w:hAnsi="Calibri"/>
                <w:color w:val="000000"/>
                <w:sz w:val="22"/>
              </w:rPr>
              <w:t>0.2448</w:t>
            </w:r>
          </w:p>
        </w:tc>
        <w:tc>
          <w:tcPr>
            <w:tcW w:w="1176" w:type="dxa"/>
            <w:gridSpan w:val="2"/>
            <w:vAlign w:val="bottom"/>
          </w:tcPr>
          <w:p w14:paraId="462CEDFA" w14:textId="77ABEC6E" w:rsidR="00421F62" w:rsidRPr="00DC55DC" w:rsidRDefault="00421F62" w:rsidP="00421F62">
            <w:pPr>
              <w:rPr>
                <w:sz w:val="20"/>
                <w:szCs w:val="20"/>
              </w:rPr>
            </w:pPr>
            <w:r>
              <w:rPr>
                <w:rFonts w:ascii="Calibri" w:hAnsi="Calibri"/>
                <w:color w:val="000000"/>
                <w:sz w:val="22"/>
              </w:rPr>
              <w:t>0.0482</w:t>
            </w:r>
          </w:p>
        </w:tc>
        <w:tc>
          <w:tcPr>
            <w:tcW w:w="1701" w:type="dxa"/>
            <w:gridSpan w:val="2"/>
            <w:vAlign w:val="bottom"/>
          </w:tcPr>
          <w:p w14:paraId="0B94E9AF" w14:textId="0EB459BB" w:rsidR="00421F62" w:rsidRPr="00DC55DC" w:rsidRDefault="00421F62" w:rsidP="00421F62">
            <w:pPr>
              <w:rPr>
                <w:sz w:val="20"/>
                <w:szCs w:val="20"/>
              </w:rPr>
            </w:pPr>
            <w:r>
              <w:rPr>
                <w:rFonts w:ascii="Calibri" w:hAnsi="Calibri"/>
                <w:color w:val="000000"/>
                <w:sz w:val="22"/>
              </w:rPr>
              <w:t>1.2774</w:t>
            </w:r>
          </w:p>
        </w:tc>
      </w:tr>
      <w:tr w:rsidR="00421F62" w14:paraId="0A6B2C42" w14:textId="77777777" w:rsidTr="00421F62">
        <w:trPr>
          <w:gridAfter w:val="1"/>
          <w:wAfter w:w="1080" w:type="dxa"/>
          <w:trHeight w:hRule="exact" w:val="340"/>
        </w:trPr>
        <w:tc>
          <w:tcPr>
            <w:tcW w:w="3940" w:type="dxa"/>
          </w:tcPr>
          <w:p w14:paraId="1C654483" w14:textId="77777777" w:rsidR="00421F62" w:rsidRPr="00DC55DC" w:rsidRDefault="00421F62" w:rsidP="00421F62">
            <w:pPr>
              <w:pStyle w:val="ListParagraph"/>
              <w:numPr>
                <w:ilvl w:val="0"/>
                <w:numId w:val="39"/>
              </w:numPr>
              <w:spacing w:line="360" w:lineRule="auto"/>
              <w:jc w:val="both"/>
              <w:rPr>
                <w:rFonts w:eastAsiaTheme="minorHAnsi" w:cs="Times New Roman"/>
                <w:sz w:val="20"/>
                <w:lang w:eastAsia="en-US"/>
              </w:rPr>
            </w:pPr>
            <w:r w:rsidRPr="00DC55DC">
              <w:rPr>
                <w:rFonts w:eastAsiaTheme="minorHAnsi" w:cs="Times New Roman"/>
                <w:sz w:val="20"/>
                <w:lang w:eastAsia="en-US"/>
              </w:rPr>
              <w:t>201112</w:t>
            </w:r>
          </w:p>
        </w:tc>
        <w:tc>
          <w:tcPr>
            <w:tcW w:w="1116" w:type="dxa"/>
            <w:gridSpan w:val="2"/>
            <w:vAlign w:val="bottom"/>
          </w:tcPr>
          <w:p w14:paraId="740216D9" w14:textId="4CC29112" w:rsidR="00421F62" w:rsidRPr="00DC55DC" w:rsidRDefault="00421F62" w:rsidP="00421F62">
            <w:pPr>
              <w:rPr>
                <w:sz w:val="20"/>
                <w:szCs w:val="20"/>
              </w:rPr>
            </w:pPr>
            <w:r>
              <w:rPr>
                <w:rFonts w:ascii="Calibri" w:hAnsi="Calibri"/>
                <w:color w:val="000000"/>
                <w:sz w:val="22"/>
              </w:rPr>
              <w:t>0.3660</w:t>
            </w:r>
          </w:p>
        </w:tc>
        <w:tc>
          <w:tcPr>
            <w:tcW w:w="1176" w:type="dxa"/>
            <w:gridSpan w:val="2"/>
            <w:vAlign w:val="bottom"/>
          </w:tcPr>
          <w:p w14:paraId="0F338B0E" w14:textId="5779AE7D" w:rsidR="00421F62" w:rsidRPr="00DC55DC" w:rsidRDefault="00421F62" w:rsidP="00421F62">
            <w:pPr>
              <w:rPr>
                <w:sz w:val="20"/>
                <w:szCs w:val="20"/>
              </w:rPr>
            </w:pPr>
            <w:r>
              <w:rPr>
                <w:rFonts w:ascii="Calibri" w:hAnsi="Calibri"/>
                <w:color w:val="000000"/>
                <w:sz w:val="22"/>
              </w:rPr>
              <w:t>0.0481</w:t>
            </w:r>
          </w:p>
        </w:tc>
        <w:tc>
          <w:tcPr>
            <w:tcW w:w="1701" w:type="dxa"/>
            <w:gridSpan w:val="2"/>
            <w:vAlign w:val="bottom"/>
          </w:tcPr>
          <w:p w14:paraId="552F15FB" w14:textId="1ED48AFD" w:rsidR="00421F62" w:rsidRPr="00DC55DC" w:rsidRDefault="00421F62" w:rsidP="00421F62">
            <w:pPr>
              <w:rPr>
                <w:sz w:val="20"/>
                <w:szCs w:val="20"/>
              </w:rPr>
            </w:pPr>
            <w:r>
              <w:rPr>
                <w:rFonts w:ascii="Calibri" w:hAnsi="Calibri"/>
                <w:color w:val="000000"/>
                <w:sz w:val="22"/>
              </w:rPr>
              <w:t>1.4419</w:t>
            </w:r>
          </w:p>
        </w:tc>
      </w:tr>
      <w:tr w:rsidR="00421F62" w14:paraId="235ABE51" w14:textId="77777777" w:rsidTr="00421F62">
        <w:trPr>
          <w:gridAfter w:val="1"/>
          <w:wAfter w:w="1080" w:type="dxa"/>
          <w:trHeight w:hRule="exact" w:val="340"/>
        </w:trPr>
        <w:tc>
          <w:tcPr>
            <w:tcW w:w="3940" w:type="dxa"/>
          </w:tcPr>
          <w:p w14:paraId="4C8D8CEF" w14:textId="77777777" w:rsidR="00421F62" w:rsidRPr="00DC55DC" w:rsidRDefault="00421F62" w:rsidP="00421F62">
            <w:pPr>
              <w:pStyle w:val="ListParagraph"/>
              <w:numPr>
                <w:ilvl w:val="0"/>
                <w:numId w:val="39"/>
              </w:numPr>
              <w:spacing w:line="360" w:lineRule="auto"/>
              <w:jc w:val="both"/>
              <w:rPr>
                <w:rFonts w:eastAsiaTheme="minorHAnsi" w:cs="Times New Roman"/>
                <w:sz w:val="20"/>
                <w:lang w:eastAsia="en-US"/>
              </w:rPr>
            </w:pPr>
            <w:r w:rsidRPr="00DC55DC">
              <w:rPr>
                <w:rFonts w:eastAsiaTheme="minorHAnsi" w:cs="Times New Roman"/>
                <w:sz w:val="20"/>
                <w:lang w:eastAsia="en-US"/>
              </w:rPr>
              <w:t>201213</w:t>
            </w:r>
          </w:p>
        </w:tc>
        <w:tc>
          <w:tcPr>
            <w:tcW w:w="1116" w:type="dxa"/>
            <w:gridSpan w:val="2"/>
            <w:vAlign w:val="bottom"/>
          </w:tcPr>
          <w:p w14:paraId="6D648610" w14:textId="7A9094B9" w:rsidR="00421F62" w:rsidRPr="00DC55DC" w:rsidRDefault="00421F62" w:rsidP="00421F62">
            <w:pPr>
              <w:rPr>
                <w:sz w:val="20"/>
                <w:szCs w:val="20"/>
              </w:rPr>
            </w:pPr>
            <w:r>
              <w:rPr>
                <w:rFonts w:ascii="Calibri" w:hAnsi="Calibri"/>
                <w:color w:val="000000"/>
                <w:sz w:val="22"/>
              </w:rPr>
              <w:t>0.3820</w:t>
            </w:r>
          </w:p>
        </w:tc>
        <w:tc>
          <w:tcPr>
            <w:tcW w:w="1176" w:type="dxa"/>
            <w:gridSpan w:val="2"/>
            <w:vAlign w:val="bottom"/>
          </w:tcPr>
          <w:p w14:paraId="4477FA77" w14:textId="66FE0FB8" w:rsidR="00421F62" w:rsidRPr="00DC55DC" w:rsidRDefault="00421F62" w:rsidP="00421F62">
            <w:pPr>
              <w:rPr>
                <w:sz w:val="20"/>
                <w:szCs w:val="20"/>
              </w:rPr>
            </w:pPr>
            <w:r>
              <w:rPr>
                <w:rFonts w:ascii="Calibri" w:hAnsi="Calibri"/>
                <w:color w:val="000000"/>
                <w:sz w:val="22"/>
              </w:rPr>
              <w:t>0.0478</w:t>
            </w:r>
          </w:p>
        </w:tc>
        <w:tc>
          <w:tcPr>
            <w:tcW w:w="1701" w:type="dxa"/>
            <w:gridSpan w:val="2"/>
            <w:vAlign w:val="bottom"/>
          </w:tcPr>
          <w:p w14:paraId="5E19EB0A" w14:textId="16A5B296" w:rsidR="00421F62" w:rsidRPr="00DC55DC" w:rsidRDefault="00421F62" w:rsidP="00421F62">
            <w:pPr>
              <w:rPr>
                <w:sz w:val="20"/>
                <w:szCs w:val="20"/>
              </w:rPr>
            </w:pPr>
            <w:r>
              <w:rPr>
                <w:rFonts w:ascii="Calibri" w:hAnsi="Calibri"/>
                <w:color w:val="000000"/>
                <w:sz w:val="22"/>
              </w:rPr>
              <w:t>1.4652</w:t>
            </w:r>
          </w:p>
        </w:tc>
      </w:tr>
      <w:tr w:rsidR="00421F62" w14:paraId="1C0D3851" w14:textId="77777777" w:rsidTr="00421F62">
        <w:trPr>
          <w:gridAfter w:val="1"/>
          <w:wAfter w:w="1080" w:type="dxa"/>
          <w:trHeight w:hRule="exact" w:val="340"/>
        </w:trPr>
        <w:tc>
          <w:tcPr>
            <w:tcW w:w="3940" w:type="dxa"/>
          </w:tcPr>
          <w:p w14:paraId="6B44018A" w14:textId="77777777" w:rsidR="00421F62" w:rsidRPr="00DC55DC" w:rsidRDefault="00421F62" w:rsidP="00421F62">
            <w:pPr>
              <w:pStyle w:val="ListParagraph"/>
              <w:numPr>
                <w:ilvl w:val="0"/>
                <w:numId w:val="39"/>
              </w:numPr>
              <w:spacing w:line="360" w:lineRule="auto"/>
              <w:jc w:val="both"/>
              <w:rPr>
                <w:rFonts w:eastAsiaTheme="minorHAnsi" w:cs="Times New Roman"/>
                <w:sz w:val="20"/>
                <w:lang w:eastAsia="en-US"/>
              </w:rPr>
            </w:pPr>
            <w:r w:rsidRPr="00DC55DC">
              <w:rPr>
                <w:rFonts w:eastAsiaTheme="minorHAnsi" w:cs="Times New Roman"/>
                <w:sz w:val="20"/>
                <w:lang w:eastAsia="en-US"/>
              </w:rPr>
              <w:t>201314</w:t>
            </w:r>
          </w:p>
        </w:tc>
        <w:tc>
          <w:tcPr>
            <w:tcW w:w="1116" w:type="dxa"/>
            <w:gridSpan w:val="2"/>
            <w:vAlign w:val="bottom"/>
          </w:tcPr>
          <w:p w14:paraId="2AFBFC5A" w14:textId="1CFCF99D" w:rsidR="00421F62" w:rsidRPr="00DC55DC" w:rsidRDefault="00421F62" w:rsidP="00421F62">
            <w:pPr>
              <w:rPr>
                <w:sz w:val="20"/>
                <w:szCs w:val="20"/>
              </w:rPr>
            </w:pPr>
            <w:r>
              <w:rPr>
                <w:rFonts w:ascii="Calibri" w:hAnsi="Calibri"/>
                <w:color w:val="000000"/>
                <w:sz w:val="22"/>
              </w:rPr>
              <w:t>0.3631</w:t>
            </w:r>
          </w:p>
        </w:tc>
        <w:tc>
          <w:tcPr>
            <w:tcW w:w="1176" w:type="dxa"/>
            <w:gridSpan w:val="2"/>
            <w:vAlign w:val="bottom"/>
          </w:tcPr>
          <w:p w14:paraId="200CCDDB" w14:textId="26E3D48C" w:rsidR="00421F62" w:rsidRPr="00DC55DC" w:rsidRDefault="00421F62" w:rsidP="00421F62">
            <w:pPr>
              <w:rPr>
                <w:sz w:val="20"/>
                <w:szCs w:val="20"/>
              </w:rPr>
            </w:pPr>
            <w:r>
              <w:rPr>
                <w:rFonts w:ascii="Calibri" w:hAnsi="Calibri"/>
                <w:color w:val="000000"/>
                <w:sz w:val="22"/>
              </w:rPr>
              <w:t>0.0487</w:t>
            </w:r>
          </w:p>
        </w:tc>
        <w:tc>
          <w:tcPr>
            <w:tcW w:w="1701" w:type="dxa"/>
            <w:gridSpan w:val="2"/>
            <w:vAlign w:val="bottom"/>
          </w:tcPr>
          <w:p w14:paraId="507E659E" w14:textId="1A359640" w:rsidR="00421F62" w:rsidRPr="00DC55DC" w:rsidRDefault="00421F62" w:rsidP="00421F62">
            <w:pPr>
              <w:rPr>
                <w:sz w:val="20"/>
                <w:szCs w:val="20"/>
              </w:rPr>
            </w:pPr>
            <w:r>
              <w:rPr>
                <w:rFonts w:ascii="Calibri" w:hAnsi="Calibri"/>
                <w:color w:val="000000"/>
                <w:sz w:val="22"/>
              </w:rPr>
              <w:t>1.4378</w:t>
            </w:r>
          </w:p>
        </w:tc>
      </w:tr>
      <w:tr w:rsidR="00421F62" w14:paraId="7594D65B" w14:textId="77777777" w:rsidTr="00421F62">
        <w:trPr>
          <w:gridAfter w:val="1"/>
          <w:wAfter w:w="1080" w:type="dxa"/>
          <w:trHeight w:hRule="exact" w:val="340"/>
        </w:trPr>
        <w:tc>
          <w:tcPr>
            <w:tcW w:w="3940" w:type="dxa"/>
          </w:tcPr>
          <w:p w14:paraId="42362DB4" w14:textId="77777777" w:rsidR="00421F62" w:rsidRPr="00DC55DC" w:rsidRDefault="00421F62" w:rsidP="00421F62">
            <w:pPr>
              <w:pStyle w:val="ListParagraph"/>
              <w:numPr>
                <w:ilvl w:val="0"/>
                <w:numId w:val="39"/>
              </w:numPr>
              <w:spacing w:line="360" w:lineRule="auto"/>
              <w:jc w:val="both"/>
              <w:rPr>
                <w:rFonts w:eastAsiaTheme="minorHAnsi" w:cs="Times New Roman"/>
                <w:sz w:val="20"/>
                <w:lang w:eastAsia="en-US"/>
              </w:rPr>
            </w:pPr>
            <w:r w:rsidRPr="00DC55DC">
              <w:rPr>
                <w:rFonts w:eastAsiaTheme="minorHAnsi" w:cs="Times New Roman"/>
                <w:sz w:val="20"/>
                <w:lang w:eastAsia="en-US"/>
              </w:rPr>
              <w:t>201415</w:t>
            </w:r>
          </w:p>
        </w:tc>
        <w:tc>
          <w:tcPr>
            <w:tcW w:w="1116" w:type="dxa"/>
            <w:gridSpan w:val="2"/>
            <w:vAlign w:val="bottom"/>
          </w:tcPr>
          <w:p w14:paraId="338427A9" w14:textId="601EECF0" w:rsidR="00421F62" w:rsidRPr="00DC55DC" w:rsidRDefault="00421F62" w:rsidP="00421F62">
            <w:pPr>
              <w:rPr>
                <w:sz w:val="20"/>
                <w:szCs w:val="20"/>
              </w:rPr>
            </w:pPr>
            <w:r>
              <w:rPr>
                <w:rFonts w:ascii="Calibri" w:hAnsi="Calibri"/>
                <w:color w:val="000000"/>
                <w:sz w:val="22"/>
              </w:rPr>
              <w:t>0.4632</w:t>
            </w:r>
          </w:p>
        </w:tc>
        <w:tc>
          <w:tcPr>
            <w:tcW w:w="1176" w:type="dxa"/>
            <w:gridSpan w:val="2"/>
            <w:vAlign w:val="bottom"/>
          </w:tcPr>
          <w:p w14:paraId="6FF24CFE" w14:textId="1BA67378" w:rsidR="00421F62" w:rsidRPr="00DC55DC" w:rsidRDefault="00421F62" w:rsidP="00421F62">
            <w:pPr>
              <w:rPr>
                <w:sz w:val="20"/>
                <w:szCs w:val="20"/>
              </w:rPr>
            </w:pPr>
            <w:r>
              <w:rPr>
                <w:rFonts w:ascii="Calibri" w:hAnsi="Calibri"/>
                <w:color w:val="000000"/>
                <w:sz w:val="22"/>
              </w:rPr>
              <w:t>0.0500</w:t>
            </w:r>
          </w:p>
        </w:tc>
        <w:tc>
          <w:tcPr>
            <w:tcW w:w="1701" w:type="dxa"/>
            <w:gridSpan w:val="2"/>
            <w:vAlign w:val="bottom"/>
          </w:tcPr>
          <w:p w14:paraId="09C21463" w14:textId="524A33FF" w:rsidR="00421F62" w:rsidRPr="00DC55DC" w:rsidRDefault="00421F62" w:rsidP="00421F62">
            <w:pPr>
              <w:rPr>
                <w:sz w:val="20"/>
                <w:szCs w:val="20"/>
              </w:rPr>
            </w:pPr>
            <w:r>
              <w:rPr>
                <w:rFonts w:ascii="Calibri" w:hAnsi="Calibri"/>
                <w:color w:val="000000"/>
                <w:sz w:val="22"/>
              </w:rPr>
              <w:t>1.5891</w:t>
            </w:r>
          </w:p>
        </w:tc>
      </w:tr>
      <w:tr w:rsidR="00421F62" w14:paraId="1342122F" w14:textId="77777777" w:rsidTr="00421F62">
        <w:trPr>
          <w:gridAfter w:val="1"/>
          <w:wAfter w:w="1080" w:type="dxa"/>
          <w:trHeight w:hRule="exact" w:val="340"/>
        </w:trPr>
        <w:tc>
          <w:tcPr>
            <w:tcW w:w="3940" w:type="dxa"/>
          </w:tcPr>
          <w:p w14:paraId="69F04A55" w14:textId="77777777" w:rsidR="00421F62" w:rsidRPr="00DC55DC" w:rsidRDefault="00421F62" w:rsidP="00421F62">
            <w:pPr>
              <w:spacing w:line="360" w:lineRule="auto"/>
              <w:jc w:val="both"/>
              <w:rPr>
                <w:rFonts w:eastAsiaTheme="minorHAnsi" w:cs="Times New Roman"/>
                <w:sz w:val="20"/>
                <w:lang w:eastAsia="en-US"/>
              </w:rPr>
            </w:pPr>
            <w:r w:rsidRPr="00DC55DC">
              <w:rPr>
                <w:rFonts w:eastAsiaTheme="minorHAnsi" w:cs="Times New Roman"/>
                <w:sz w:val="20"/>
                <w:lang w:eastAsia="en-US"/>
              </w:rPr>
              <w:t>In-hospital Death</w:t>
            </w:r>
          </w:p>
        </w:tc>
        <w:tc>
          <w:tcPr>
            <w:tcW w:w="1116" w:type="dxa"/>
            <w:gridSpan w:val="2"/>
            <w:vAlign w:val="bottom"/>
          </w:tcPr>
          <w:p w14:paraId="426080A9" w14:textId="680B8A9D" w:rsidR="00421F62" w:rsidRPr="00DC55DC" w:rsidRDefault="00421F62" w:rsidP="00421F62">
            <w:pPr>
              <w:rPr>
                <w:sz w:val="20"/>
                <w:szCs w:val="20"/>
              </w:rPr>
            </w:pPr>
            <w:r>
              <w:rPr>
                <w:rFonts w:ascii="Calibri" w:hAnsi="Calibri"/>
                <w:color w:val="000000"/>
                <w:sz w:val="22"/>
              </w:rPr>
              <w:t>0.2015</w:t>
            </w:r>
          </w:p>
        </w:tc>
        <w:tc>
          <w:tcPr>
            <w:tcW w:w="1176" w:type="dxa"/>
            <w:gridSpan w:val="2"/>
            <w:vAlign w:val="bottom"/>
          </w:tcPr>
          <w:p w14:paraId="0B34AED0" w14:textId="0F2B3CC6" w:rsidR="00421F62" w:rsidRPr="00DC55DC" w:rsidRDefault="00421F62" w:rsidP="00421F62">
            <w:pPr>
              <w:rPr>
                <w:sz w:val="20"/>
                <w:szCs w:val="20"/>
              </w:rPr>
            </w:pPr>
            <w:r>
              <w:rPr>
                <w:rFonts w:ascii="Calibri" w:hAnsi="Calibri"/>
                <w:color w:val="000000"/>
                <w:sz w:val="22"/>
              </w:rPr>
              <w:t>0.0439</w:t>
            </w:r>
          </w:p>
        </w:tc>
        <w:tc>
          <w:tcPr>
            <w:tcW w:w="1701" w:type="dxa"/>
            <w:gridSpan w:val="2"/>
            <w:vAlign w:val="bottom"/>
          </w:tcPr>
          <w:p w14:paraId="7DA08CAF" w14:textId="023FB1A2" w:rsidR="00421F62" w:rsidRPr="00DC55DC" w:rsidRDefault="00421F62" w:rsidP="00421F62">
            <w:pPr>
              <w:rPr>
                <w:sz w:val="20"/>
                <w:szCs w:val="20"/>
              </w:rPr>
            </w:pPr>
            <w:r>
              <w:rPr>
                <w:rFonts w:ascii="Calibri" w:hAnsi="Calibri"/>
                <w:color w:val="000000"/>
                <w:sz w:val="22"/>
              </w:rPr>
              <w:t>1.2232</w:t>
            </w:r>
          </w:p>
        </w:tc>
      </w:tr>
      <w:tr w:rsidR="00421F62" w14:paraId="57DE143F" w14:textId="77777777" w:rsidTr="00421F62">
        <w:trPr>
          <w:gridAfter w:val="1"/>
          <w:wAfter w:w="1080" w:type="dxa"/>
          <w:trHeight w:hRule="exact" w:val="340"/>
        </w:trPr>
        <w:tc>
          <w:tcPr>
            <w:tcW w:w="3940" w:type="dxa"/>
          </w:tcPr>
          <w:p w14:paraId="68C04B3F" w14:textId="16C39C33" w:rsidR="00421F62" w:rsidRPr="00DC55DC" w:rsidRDefault="00421F62" w:rsidP="00421F62">
            <w:pPr>
              <w:spacing w:line="360" w:lineRule="auto"/>
              <w:jc w:val="both"/>
              <w:rPr>
                <w:rFonts w:eastAsiaTheme="minorHAnsi" w:cs="Times New Roman"/>
                <w:sz w:val="20"/>
                <w:lang w:eastAsia="en-US"/>
              </w:rPr>
            </w:pPr>
            <w:r>
              <w:rPr>
                <w:rFonts w:eastAsiaTheme="minorHAnsi" w:cs="Times New Roman"/>
                <w:sz w:val="20"/>
                <w:lang w:eastAsia="en-US"/>
              </w:rPr>
              <w:t>Living in Urban Area</w:t>
            </w:r>
          </w:p>
        </w:tc>
        <w:tc>
          <w:tcPr>
            <w:tcW w:w="1116" w:type="dxa"/>
            <w:gridSpan w:val="2"/>
            <w:vAlign w:val="bottom"/>
          </w:tcPr>
          <w:p w14:paraId="3413963D" w14:textId="5F4B7EC0" w:rsidR="00421F62" w:rsidRPr="00DC55DC" w:rsidRDefault="00421F62" w:rsidP="00421F62">
            <w:pPr>
              <w:rPr>
                <w:sz w:val="20"/>
                <w:szCs w:val="20"/>
              </w:rPr>
            </w:pPr>
            <w:r>
              <w:rPr>
                <w:rFonts w:ascii="Calibri" w:hAnsi="Calibri"/>
                <w:color w:val="000000"/>
                <w:sz w:val="22"/>
              </w:rPr>
              <w:t>0.0765</w:t>
            </w:r>
          </w:p>
        </w:tc>
        <w:tc>
          <w:tcPr>
            <w:tcW w:w="1176" w:type="dxa"/>
            <w:gridSpan w:val="2"/>
            <w:vAlign w:val="bottom"/>
          </w:tcPr>
          <w:p w14:paraId="6E7780A4" w14:textId="373682E2" w:rsidR="00421F62" w:rsidRPr="00DC55DC" w:rsidRDefault="00421F62" w:rsidP="00421F62">
            <w:pPr>
              <w:rPr>
                <w:sz w:val="20"/>
                <w:szCs w:val="20"/>
              </w:rPr>
            </w:pPr>
            <w:r>
              <w:rPr>
                <w:rFonts w:ascii="Calibri" w:hAnsi="Calibri"/>
                <w:color w:val="000000"/>
                <w:sz w:val="22"/>
              </w:rPr>
              <w:t>0.0318</w:t>
            </w:r>
          </w:p>
        </w:tc>
        <w:tc>
          <w:tcPr>
            <w:tcW w:w="1701" w:type="dxa"/>
            <w:gridSpan w:val="2"/>
            <w:vAlign w:val="bottom"/>
          </w:tcPr>
          <w:p w14:paraId="013E8E19" w14:textId="4E72A642" w:rsidR="00421F62" w:rsidRPr="00DC55DC" w:rsidRDefault="00421F62" w:rsidP="00421F62">
            <w:pPr>
              <w:rPr>
                <w:sz w:val="20"/>
                <w:szCs w:val="20"/>
              </w:rPr>
            </w:pPr>
            <w:r>
              <w:rPr>
                <w:rFonts w:ascii="Calibri" w:hAnsi="Calibri"/>
                <w:color w:val="000000"/>
                <w:sz w:val="22"/>
              </w:rPr>
              <w:t>1.0795</w:t>
            </w:r>
          </w:p>
        </w:tc>
      </w:tr>
      <w:tr w:rsidR="00421F62" w14:paraId="0B1F7E2C" w14:textId="77777777" w:rsidTr="00421F62">
        <w:trPr>
          <w:gridAfter w:val="1"/>
          <w:wAfter w:w="1080" w:type="dxa"/>
          <w:trHeight w:hRule="exact" w:val="340"/>
        </w:trPr>
        <w:tc>
          <w:tcPr>
            <w:tcW w:w="3940" w:type="dxa"/>
          </w:tcPr>
          <w:p w14:paraId="7DBB9372" w14:textId="215B9654" w:rsidR="00421F62" w:rsidRPr="00DC55DC" w:rsidRDefault="00421F62" w:rsidP="00421F62">
            <w:pPr>
              <w:spacing w:line="360" w:lineRule="auto"/>
              <w:jc w:val="both"/>
              <w:rPr>
                <w:rFonts w:eastAsiaTheme="minorHAnsi" w:cs="Times New Roman"/>
                <w:sz w:val="20"/>
                <w:lang w:eastAsia="en-US"/>
              </w:rPr>
            </w:pPr>
            <w:r w:rsidRPr="00DC55DC">
              <w:rPr>
                <w:rFonts w:eastAsiaTheme="minorHAnsi" w:cs="Times New Roman"/>
                <w:sz w:val="20"/>
                <w:lang w:eastAsia="en-US"/>
              </w:rPr>
              <w:t>MFF</w:t>
            </w:r>
            <w:r>
              <w:rPr>
                <w:rFonts w:eastAsiaTheme="minorHAnsi" w:cs="Times New Roman"/>
                <w:sz w:val="20"/>
                <w:lang w:eastAsia="en-US"/>
              </w:rPr>
              <w:t xml:space="preserve"> index of the hospital</w:t>
            </w:r>
          </w:p>
        </w:tc>
        <w:tc>
          <w:tcPr>
            <w:tcW w:w="1116" w:type="dxa"/>
            <w:gridSpan w:val="2"/>
            <w:vAlign w:val="bottom"/>
          </w:tcPr>
          <w:p w14:paraId="20146A90" w14:textId="7CF4A06E" w:rsidR="00421F62" w:rsidRPr="00DC55DC" w:rsidRDefault="00421F62" w:rsidP="00421F62">
            <w:pPr>
              <w:rPr>
                <w:sz w:val="20"/>
                <w:szCs w:val="20"/>
              </w:rPr>
            </w:pPr>
            <w:r>
              <w:rPr>
                <w:rFonts w:ascii="Calibri" w:hAnsi="Calibri"/>
                <w:color w:val="000000"/>
                <w:sz w:val="22"/>
              </w:rPr>
              <w:t>2.6676</w:t>
            </w:r>
          </w:p>
        </w:tc>
        <w:tc>
          <w:tcPr>
            <w:tcW w:w="1176" w:type="dxa"/>
            <w:gridSpan w:val="2"/>
            <w:vAlign w:val="bottom"/>
          </w:tcPr>
          <w:p w14:paraId="4A48CA63" w14:textId="6BC4849B" w:rsidR="00421F62" w:rsidRPr="00DC55DC" w:rsidRDefault="00421F62" w:rsidP="00421F62">
            <w:pPr>
              <w:rPr>
                <w:sz w:val="20"/>
                <w:szCs w:val="20"/>
              </w:rPr>
            </w:pPr>
            <w:r>
              <w:rPr>
                <w:rFonts w:ascii="Calibri" w:hAnsi="Calibri"/>
                <w:color w:val="000000"/>
                <w:sz w:val="22"/>
              </w:rPr>
              <w:t>0.1901</w:t>
            </w:r>
          </w:p>
        </w:tc>
        <w:tc>
          <w:tcPr>
            <w:tcW w:w="1701" w:type="dxa"/>
            <w:gridSpan w:val="2"/>
            <w:vAlign w:val="bottom"/>
          </w:tcPr>
          <w:p w14:paraId="57DE6D99" w14:textId="682C0CD0" w:rsidR="00421F62" w:rsidRPr="00DC55DC" w:rsidRDefault="00421F62" w:rsidP="00421F62">
            <w:pPr>
              <w:rPr>
                <w:sz w:val="20"/>
                <w:szCs w:val="20"/>
              </w:rPr>
            </w:pPr>
            <w:r>
              <w:rPr>
                <w:rFonts w:ascii="Calibri" w:hAnsi="Calibri"/>
                <w:color w:val="000000"/>
                <w:sz w:val="22"/>
              </w:rPr>
              <w:t>14.4053</w:t>
            </w:r>
          </w:p>
        </w:tc>
      </w:tr>
      <w:tr w:rsidR="00421F62" w14:paraId="47853030" w14:textId="77777777" w:rsidTr="00421F62">
        <w:trPr>
          <w:gridAfter w:val="1"/>
          <w:wAfter w:w="1080" w:type="dxa"/>
          <w:trHeight w:hRule="exact" w:val="340"/>
        </w:trPr>
        <w:tc>
          <w:tcPr>
            <w:tcW w:w="3940" w:type="dxa"/>
          </w:tcPr>
          <w:p w14:paraId="52380D90" w14:textId="33C358E7" w:rsidR="00421F62" w:rsidRPr="00DC55DC" w:rsidRDefault="00421F62" w:rsidP="00421F62">
            <w:pPr>
              <w:spacing w:line="360" w:lineRule="auto"/>
              <w:jc w:val="both"/>
              <w:rPr>
                <w:rFonts w:eastAsiaTheme="minorHAnsi" w:cs="Times New Roman"/>
                <w:sz w:val="20"/>
                <w:lang w:eastAsia="en-US"/>
              </w:rPr>
            </w:pPr>
            <w:r>
              <w:rPr>
                <w:rFonts w:eastAsiaTheme="minorHAnsi" w:cs="Times New Roman"/>
                <w:sz w:val="20"/>
                <w:lang w:eastAsia="en-US"/>
              </w:rPr>
              <w:t xml:space="preserve">Having </w:t>
            </w:r>
            <w:r w:rsidRPr="00DC55DC">
              <w:rPr>
                <w:rFonts w:eastAsiaTheme="minorHAnsi" w:cs="Times New Roman"/>
                <w:sz w:val="20"/>
                <w:lang w:eastAsia="en-US"/>
              </w:rPr>
              <w:t>COPD</w:t>
            </w:r>
          </w:p>
        </w:tc>
        <w:tc>
          <w:tcPr>
            <w:tcW w:w="1116" w:type="dxa"/>
            <w:gridSpan w:val="2"/>
            <w:vAlign w:val="bottom"/>
          </w:tcPr>
          <w:p w14:paraId="4B6D3443" w14:textId="03DF2936" w:rsidR="00421F62" w:rsidRPr="00DC55DC" w:rsidRDefault="00421F62" w:rsidP="00421F62">
            <w:pPr>
              <w:rPr>
                <w:sz w:val="20"/>
                <w:szCs w:val="20"/>
              </w:rPr>
            </w:pPr>
            <w:r>
              <w:rPr>
                <w:rFonts w:ascii="Calibri" w:hAnsi="Calibri"/>
                <w:color w:val="000000"/>
                <w:sz w:val="22"/>
              </w:rPr>
              <w:t>0.1044</w:t>
            </w:r>
          </w:p>
        </w:tc>
        <w:tc>
          <w:tcPr>
            <w:tcW w:w="1176" w:type="dxa"/>
            <w:gridSpan w:val="2"/>
            <w:vAlign w:val="bottom"/>
          </w:tcPr>
          <w:p w14:paraId="377ADE35" w14:textId="677EF9F2" w:rsidR="00421F62" w:rsidRPr="00DC55DC" w:rsidRDefault="00421F62" w:rsidP="00421F62">
            <w:pPr>
              <w:rPr>
                <w:sz w:val="20"/>
                <w:szCs w:val="20"/>
              </w:rPr>
            </w:pPr>
            <w:r>
              <w:rPr>
                <w:rFonts w:ascii="Calibri" w:hAnsi="Calibri"/>
                <w:color w:val="000000"/>
                <w:sz w:val="22"/>
              </w:rPr>
              <w:t>0.0314</w:t>
            </w:r>
          </w:p>
        </w:tc>
        <w:tc>
          <w:tcPr>
            <w:tcW w:w="1701" w:type="dxa"/>
            <w:gridSpan w:val="2"/>
            <w:vAlign w:val="bottom"/>
          </w:tcPr>
          <w:p w14:paraId="70354AD8" w14:textId="4903FEAA" w:rsidR="00421F62" w:rsidRPr="00DC55DC" w:rsidRDefault="00421F62" w:rsidP="00421F62">
            <w:pPr>
              <w:rPr>
                <w:sz w:val="20"/>
                <w:szCs w:val="20"/>
              </w:rPr>
            </w:pPr>
            <w:r>
              <w:rPr>
                <w:rFonts w:ascii="Calibri" w:hAnsi="Calibri"/>
                <w:color w:val="000000"/>
                <w:sz w:val="22"/>
              </w:rPr>
              <w:t>1.1101</w:t>
            </w:r>
          </w:p>
        </w:tc>
      </w:tr>
      <w:tr w:rsidR="00421F62" w14:paraId="184F3A0C" w14:textId="77777777" w:rsidTr="00421F62">
        <w:trPr>
          <w:gridAfter w:val="1"/>
          <w:wAfter w:w="1080" w:type="dxa"/>
          <w:trHeight w:hRule="exact" w:val="340"/>
        </w:trPr>
        <w:tc>
          <w:tcPr>
            <w:tcW w:w="3940" w:type="dxa"/>
          </w:tcPr>
          <w:p w14:paraId="5B9674AE" w14:textId="479A245E" w:rsidR="00421F62" w:rsidRPr="00DC55DC" w:rsidRDefault="00421F62" w:rsidP="00421F62">
            <w:pPr>
              <w:spacing w:line="360" w:lineRule="auto"/>
              <w:jc w:val="both"/>
              <w:rPr>
                <w:rFonts w:eastAsiaTheme="minorHAnsi" w:cs="Times New Roman"/>
                <w:sz w:val="20"/>
                <w:lang w:eastAsia="en-US"/>
              </w:rPr>
            </w:pPr>
            <w:r>
              <w:rPr>
                <w:rFonts w:eastAsiaTheme="minorHAnsi" w:cs="Times New Roman"/>
                <w:sz w:val="20"/>
                <w:lang w:eastAsia="en-US"/>
              </w:rPr>
              <w:t xml:space="preserve">Having </w:t>
            </w:r>
            <w:r w:rsidRPr="00DC55DC">
              <w:rPr>
                <w:rFonts w:eastAsiaTheme="minorHAnsi" w:cs="Times New Roman"/>
                <w:sz w:val="20"/>
                <w:lang w:eastAsia="en-US"/>
              </w:rPr>
              <w:t>Moderate/Severe Liver Disease</w:t>
            </w:r>
          </w:p>
        </w:tc>
        <w:tc>
          <w:tcPr>
            <w:tcW w:w="1116" w:type="dxa"/>
            <w:gridSpan w:val="2"/>
            <w:vAlign w:val="bottom"/>
          </w:tcPr>
          <w:p w14:paraId="36072FD9" w14:textId="0EFAFA99" w:rsidR="00421F62" w:rsidRPr="00DC55DC" w:rsidRDefault="00421F62" w:rsidP="00421F62">
            <w:pPr>
              <w:rPr>
                <w:sz w:val="20"/>
                <w:szCs w:val="20"/>
              </w:rPr>
            </w:pPr>
            <w:r>
              <w:rPr>
                <w:rFonts w:ascii="Calibri" w:hAnsi="Calibri"/>
                <w:color w:val="000000"/>
                <w:sz w:val="22"/>
              </w:rPr>
              <w:t>0.3170</w:t>
            </w:r>
          </w:p>
        </w:tc>
        <w:tc>
          <w:tcPr>
            <w:tcW w:w="1176" w:type="dxa"/>
            <w:gridSpan w:val="2"/>
            <w:vAlign w:val="bottom"/>
          </w:tcPr>
          <w:p w14:paraId="4CC35C3E" w14:textId="54B4D60D" w:rsidR="00421F62" w:rsidRPr="00DC55DC" w:rsidRDefault="00421F62" w:rsidP="00421F62">
            <w:pPr>
              <w:rPr>
                <w:sz w:val="20"/>
                <w:szCs w:val="20"/>
              </w:rPr>
            </w:pPr>
            <w:r>
              <w:rPr>
                <w:rFonts w:ascii="Calibri" w:hAnsi="Calibri"/>
                <w:color w:val="000000"/>
                <w:sz w:val="22"/>
              </w:rPr>
              <w:t>0.1644</w:t>
            </w:r>
          </w:p>
        </w:tc>
        <w:tc>
          <w:tcPr>
            <w:tcW w:w="1701" w:type="dxa"/>
            <w:gridSpan w:val="2"/>
            <w:vAlign w:val="bottom"/>
          </w:tcPr>
          <w:p w14:paraId="5EDE7C31" w14:textId="70639BC1" w:rsidR="00421F62" w:rsidRPr="00DC55DC" w:rsidRDefault="00421F62" w:rsidP="00421F62">
            <w:pPr>
              <w:rPr>
                <w:sz w:val="20"/>
                <w:szCs w:val="20"/>
              </w:rPr>
            </w:pPr>
            <w:r>
              <w:rPr>
                <w:rFonts w:ascii="Calibri" w:hAnsi="Calibri"/>
                <w:color w:val="000000"/>
                <w:sz w:val="22"/>
              </w:rPr>
              <w:t>1.3731</w:t>
            </w:r>
          </w:p>
        </w:tc>
      </w:tr>
      <w:tr w:rsidR="00421F62" w:rsidRPr="00434574" w14:paraId="0FF545DA" w14:textId="77777777" w:rsidTr="00421F62">
        <w:trPr>
          <w:gridAfter w:val="1"/>
          <w:wAfter w:w="1080" w:type="dxa"/>
          <w:trHeight w:hRule="exact" w:val="340"/>
        </w:trPr>
        <w:tc>
          <w:tcPr>
            <w:tcW w:w="3940" w:type="dxa"/>
          </w:tcPr>
          <w:p w14:paraId="32729475" w14:textId="2550DBAC" w:rsidR="00421F62" w:rsidRPr="00434574" w:rsidRDefault="00421F62" w:rsidP="00421F62">
            <w:pPr>
              <w:spacing w:line="360" w:lineRule="auto"/>
              <w:jc w:val="both"/>
              <w:rPr>
                <w:rFonts w:eastAsiaTheme="minorHAnsi" w:cs="Times New Roman"/>
                <w:color w:val="FF0000"/>
                <w:sz w:val="20"/>
                <w:lang w:eastAsia="en-US"/>
              </w:rPr>
            </w:pPr>
            <w:r>
              <w:rPr>
                <w:rFonts w:eastAsiaTheme="minorHAnsi" w:cs="Times New Roman"/>
                <w:color w:val="FF0000"/>
                <w:sz w:val="20"/>
                <w:lang w:eastAsia="en-US"/>
              </w:rPr>
              <w:t xml:space="preserve">Annual </w:t>
            </w:r>
            <w:r w:rsidRPr="00434574">
              <w:rPr>
                <w:rFonts w:eastAsiaTheme="minorHAnsi" w:cs="Times New Roman"/>
                <w:color w:val="FF0000"/>
                <w:sz w:val="20"/>
                <w:lang w:eastAsia="en-US"/>
              </w:rPr>
              <w:t>Volume of the hospital</w:t>
            </w:r>
          </w:p>
        </w:tc>
        <w:tc>
          <w:tcPr>
            <w:tcW w:w="1116" w:type="dxa"/>
            <w:gridSpan w:val="2"/>
            <w:vAlign w:val="bottom"/>
          </w:tcPr>
          <w:p w14:paraId="70B62BE3" w14:textId="51513623" w:rsidR="00421F62" w:rsidRPr="00434574" w:rsidRDefault="00421F62" w:rsidP="00421F62">
            <w:pPr>
              <w:rPr>
                <w:color w:val="FF0000"/>
                <w:sz w:val="20"/>
                <w:szCs w:val="20"/>
              </w:rPr>
            </w:pPr>
            <w:r>
              <w:rPr>
                <w:rFonts w:ascii="Calibri" w:hAnsi="Calibri"/>
                <w:color w:val="000000"/>
                <w:sz w:val="22"/>
              </w:rPr>
              <w:t>0.0006</w:t>
            </w:r>
          </w:p>
        </w:tc>
        <w:tc>
          <w:tcPr>
            <w:tcW w:w="1176" w:type="dxa"/>
            <w:gridSpan w:val="2"/>
            <w:vAlign w:val="bottom"/>
          </w:tcPr>
          <w:p w14:paraId="17BE8613" w14:textId="38D7AC65" w:rsidR="00421F62" w:rsidRPr="00434574" w:rsidRDefault="00421F62" w:rsidP="00421F62">
            <w:pPr>
              <w:rPr>
                <w:color w:val="FF0000"/>
                <w:sz w:val="20"/>
                <w:szCs w:val="20"/>
              </w:rPr>
            </w:pPr>
            <w:r>
              <w:rPr>
                <w:rFonts w:ascii="Calibri" w:hAnsi="Calibri"/>
                <w:color w:val="000000"/>
                <w:sz w:val="22"/>
              </w:rPr>
              <w:t>0.0003</w:t>
            </w:r>
          </w:p>
        </w:tc>
        <w:tc>
          <w:tcPr>
            <w:tcW w:w="1701" w:type="dxa"/>
            <w:gridSpan w:val="2"/>
            <w:vAlign w:val="bottom"/>
          </w:tcPr>
          <w:p w14:paraId="0647EA54" w14:textId="1A8197E8" w:rsidR="00421F62" w:rsidRPr="00434574" w:rsidRDefault="00421F62" w:rsidP="00421F62">
            <w:pPr>
              <w:rPr>
                <w:color w:val="FF0000"/>
                <w:sz w:val="20"/>
                <w:szCs w:val="20"/>
              </w:rPr>
            </w:pPr>
            <w:r>
              <w:rPr>
                <w:rFonts w:ascii="Calibri" w:hAnsi="Calibri"/>
                <w:color w:val="000000"/>
                <w:sz w:val="22"/>
              </w:rPr>
              <w:t>1.0006</w:t>
            </w:r>
          </w:p>
        </w:tc>
      </w:tr>
    </w:tbl>
    <w:p w14:paraId="7586E6F9" w14:textId="7ED17FAB" w:rsidR="00483CE8" w:rsidRDefault="00483CE8" w:rsidP="003708EB">
      <w:pPr>
        <w:spacing w:line="360" w:lineRule="auto"/>
        <w:jc w:val="both"/>
        <w:rPr>
          <w:rFonts w:eastAsiaTheme="minorHAnsi" w:cs="Times New Roman"/>
          <w:lang w:eastAsia="en-US"/>
        </w:rPr>
      </w:pPr>
    </w:p>
    <w:tbl>
      <w:tblPr>
        <w:tblStyle w:val="TableGrid"/>
        <w:tblW w:w="7933" w:type="dxa"/>
        <w:tblLook w:val="04A0" w:firstRow="1" w:lastRow="0" w:firstColumn="1" w:lastColumn="0" w:noHBand="0" w:noVBand="1"/>
      </w:tblPr>
      <w:tblGrid>
        <w:gridCol w:w="3940"/>
        <w:gridCol w:w="1116"/>
        <w:gridCol w:w="1176"/>
        <w:gridCol w:w="1701"/>
      </w:tblGrid>
      <w:tr w:rsidR="00767F11" w14:paraId="543D93C4" w14:textId="77777777" w:rsidTr="00CF00DD">
        <w:tc>
          <w:tcPr>
            <w:tcW w:w="3940" w:type="dxa"/>
            <w:vMerge w:val="restart"/>
            <w:vAlign w:val="center"/>
          </w:tcPr>
          <w:p w14:paraId="14DE43DF" w14:textId="54B471B7" w:rsidR="00767F11" w:rsidRDefault="00767F11" w:rsidP="00434574">
            <w:pPr>
              <w:spacing w:line="360" w:lineRule="auto"/>
              <w:jc w:val="center"/>
              <w:rPr>
                <w:rFonts w:eastAsiaTheme="minorHAnsi" w:cs="Times New Roman"/>
                <w:b/>
                <w:lang w:eastAsia="en-US"/>
              </w:rPr>
            </w:pPr>
            <w:r>
              <w:rPr>
                <w:rFonts w:eastAsiaTheme="minorHAnsi" w:cs="Times New Roman"/>
                <w:lang w:eastAsia="en-US"/>
              </w:rPr>
              <w:t xml:space="preserve">  </w:t>
            </w:r>
            <w:r>
              <w:rPr>
                <w:rFonts w:eastAsiaTheme="minorHAnsi" w:cs="Times New Roman"/>
                <w:b/>
                <w:lang w:eastAsia="en-US"/>
              </w:rPr>
              <w:t>Model 3: Elective Open Repair</w:t>
            </w:r>
          </w:p>
          <w:p w14:paraId="2DDE9063" w14:textId="77777777" w:rsidR="00767F11" w:rsidRPr="00DC55DC" w:rsidRDefault="00767F11" w:rsidP="00434574">
            <w:pPr>
              <w:spacing w:line="360" w:lineRule="auto"/>
              <w:jc w:val="center"/>
              <w:rPr>
                <w:rFonts w:eastAsiaTheme="minorHAnsi" w:cs="Times New Roman"/>
                <w:lang w:eastAsia="en-US"/>
              </w:rPr>
            </w:pPr>
            <w:r w:rsidRPr="00DC55DC">
              <w:rPr>
                <w:rFonts w:eastAsiaTheme="minorHAnsi" w:cs="Times New Roman"/>
                <w:sz w:val="18"/>
                <w:lang w:eastAsia="en-US"/>
              </w:rPr>
              <w:t>(GLM with Gamma Distribution and Log Link)</w:t>
            </w:r>
          </w:p>
        </w:tc>
        <w:tc>
          <w:tcPr>
            <w:tcW w:w="3993" w:type="dxa"/>
            <w:gridSpan w:val="3"/>
          </w:tcPr>
          <w:p w14:paraId="4E55FFA7" w14:textId="77777777" w:rsidR="00767F11" w:rsidRPr="00DC55DC" w:rsidRDefault="00767F11" w:rsidP="00434574">
            <w:pPr>
              <w:spacing w:line="360" w:lineRule="auto"/>
              <w:jc w:val="both"/>
              <w:rPr>
                <w:rFonts w:eastAsiaTheme="minorHAnsi" w:cs="Times New Roman"/>
                <w:sz w:val="20"/>
                <w:lang w:eastAsia="en-US"/>
              </w:rPr>
            </w:pPr>
            <w:r w:rsidRPr="00DC55DC">
              <w:rPr>
                <w:rFonts w:eastAsiaTheme="minorHAnsi" w:cs="Times New Roman"/>
                <w:sz w:val="20"/>
                <w:lang w:eastAsia="en-US"/>
              </w:rPr>
              <w:t>Predicting total cost of index episode</w:t>
            </w:r>
          </w:p>
        </w:tc>
      </w:tr>
      <w:tr w:rsidR="00767F11" w14:paraId="49ECE30E" w14:textId="77777777" w:rsidTr="00CF00DD">
        <w:tc>
          <w:tcPr>
            <w:tcW w:w="3940" w:type="dxa"/>
            <w:vMerge/>
          </w:tcPr>
          <w:p w14:paraId="595AA7D5" w14:textId="77777777" w:rsidR="00767F11" w:rsidRDefault="00767F11" w:rsidP="00434574">
            <w:pPr>
              <w:spacing w:line="360" w:lineRule="auto"/>
              <w:jc w:val="both"/>
              <w:rPr>
                <w:rFonts w:eastAsiaTheme="minorHAnsi" w:cs="Times New Roman"/>
                <w:lang w:eastAsia="en-US"/>
              </w:rPr>
            </w:pPr>
          </w:p>
        </w:tc>
        <w:tc>
          <w:tcPr>
            <w:tcW w:w="1116" w:type="dxa"/>
          </w:tcPr>
          <w:p w14:paraId="05E58A39" w14:textId="77777777" w:rsidR="00767F11" w:rsidRPr="00DC55DC" w:rsidRDefault="00767F11" w:rsidP="00434574">
            <w:pPr>
              <w:spacing w:line="360" w:lineRule="auto"/>
              <w:jc w:val="both"/>
              <w:rPr>
                <w:rFonts w:eastAsiaTheme="minorHAnsi" w:cs="Times New Roman"/>
                <w:sz w:val="20"/>
                <w:lang w:eastAsia="en-US"/>
              </w:rPr>
            </w:pPr>
            <w:r w:rsidRPr="00DC55DC">
              <w:rPr>
                <w:rFonts w:eastAsiaTheme="minorHAnsi" w:cs="Times New Roman"/>
                <w:sz w:val="20"/>
                <w:lang w:eastAsia="en-US"/>
              </w:rPr>
              <w:t>Coefficient</w:t>
            </w:r>
          </w:p>
        </w:tc>
        <w:tc>
          <w:tcPr>
            <w:tcW w:w="1176" w:type="dxa"/>
          </w:tcPr>
          <w:p w14:paraId="51F45924" w14:textId="30D518E9" w:rsidR="00767F11" w:rsidRPr="00DC55DC" w:rsidRDefault="00421F62" w:rsidP="00434574">
            <w:pPr>
              <w:spacing w:line="360" w:lineRule="auto"/>
              <w:jc w:val="center"/>
              <w:rPr>
                <w:rFonts w:eastAsiaTheme="minorHAnsi" w:cs="Times New Roman"/>
                <w:sz w:val="20"/>
                <w:lang w:eastAsia="en-US"/>
              </w:rPr>
            </w:pPr>
            <w:r>
              <w:rPr>
                <w:rFonts w:eastAsiaTheme="minorHAnsi" w:cs="Times New Roman"/>
                <w:sz w:val="20"/>
                <w:lang w:eastAsia="en-US"/>
              </w:rPr>
              <w:t>SE</w:t>
            </w:r>
          </w:p>
        </w:tc>
        <w:tc>
          <w:tcPr>
            <w:tcW w:w="1701" w:type="dxa"/>
          </w:tcPr>
          <w:p w14:paraId="260C88E8" w14:textId="77777777" w:rsidR="00767F11" w:rsidRPr="00DC55DC" w:rsidRDefault="00767F11" w:rsidP="00434574">
            <w:pPr>
              <w:spacing w:line="360" w:lineRule="auto"/>
              <w:jc w:val="both"/>
              <w:rPr>
                <w:rFonts w:eastAsiaTheme="minorHAnsi" w:cs="Times New Roman"/>
                <w:sz w:val="20"/>
                <w:lang w:eastAsia="en-US"/>
              </w:rPr>
            </w:pPr>
            <w:r w:rsidRPr="00DC55DC">
              <w:rPr>
                <w:rFonts w:eastAsiaTheme="minorHAnsi" w:cs="Times New Roman"/>
                <w:sz w:val="20"/>
                <w:lang w:eastAsia="en-US"/>
              </w:rPr>
              <w:t>EXP of coefficient</w:t>
            </w:r>
          </w:p>
        </w:tc>
      </w:tr>
      <w:tr w:rsidR="00CF00DD" w14:paraId="592068EE" w14:textId="77777777" w:rsidTr="00CF00DD">
        <w:trPr>
          <w:trHeight w:hRule="exact" w:val="340"/>
        </w:trPr>
        <w:tc>
          <w:tcPr>
            <w:tcW w:w="3940" w:type="dxa"/>
          </w:tcPr>
          <w:p w14:paraId="1FCF6176" w14:textId="77777777" w:rsidR="00CF00DD" w:rsidRPr="00DC55DC" w:rsidRDefault="00CF00DD" w:rsidP="00CF00DD">
            <w:pPr>
              <w:spacing w:line="360" w:lineRule="auto"/>
              <w:jc w:val="both"/>
              <w:rPr>
                <w:rFonts w:eastAsiaTheme="minorHAnsi" w:cs="Times New Roman"/>
                <w:sz w:val="20"/>
                <w:lang w:eastAsia="en-US"/>
              </w:rPr>
            </w:pPr>
            <w:r w:rsidRPr="00DC55DC">
              <w:rPr>
                <w:rFonts w:eastAsiaTheme="minorHAnsi" w:cs="Times New Roman"/>
                <w:sz w:val="20"/>
                <w:lang w:eastAsia="en-US"/>
              </w:rPr>
              <w:t>Intercept</w:t>
            </w:r>
          </w:p>
        </w:tc>
        <w:tc>
          <w:tcPr>
            <w:tcW w:w="1116" w:type="dxa"/>
            <w:vAlign w:val="bottom"/>
          </w:tcPr>
          <w:p w14:paraId="71DAA961" w14:textId="40D7B7ED" w:rsidR="00CF00DD" w:rsidRPr="00DC55DC" w:rsidRDefault="00CF00DD" w:rsidP="00CF00DD">
            <w:pPr>
              <w:rPr>
                <w:sz w:val="20"/>
                <w:szCs w:val="20"/>
              </w:rPr>
            </w:pPr>
            <w:r>
              <w:rPr>
                <w:rFonts w:ascii="Calibri" w:hAnsi="Calibri"/>
                <w:color w:val="000000"/>
                <w:sz w:val="22"/>
              </w:rPr>
              <w:t>6.4060</w:t>
            </w:r>
          </w:p>
        </w:tc>
        <w:tc>
          <w:tcPr>
            <w:tcW w:w="1176" w:type="dxa"/>
            <w:vAlign w:val="bottom"/>
          </w:tcPr>
          <w:p w14:paraId="6CA0F34F" w14:textId="5D0D633E" w:rsidR="00CF00DD" w:rsidRPr="00DC55DC" w:rsidRDefault="00CF00DD" w:rsidP="00CF00DD">
            <w:pPr>
              <w:rPr>
                <w:sz w:val="20"/>
                <w:szCs w:val="20"/>
              </w:rPr>
            </w:pPr>
            <w:r>
              <w:rPr>
                <w:rFonts w:ascii="Calibri" w:hAnsi="Calibri"/>
                <w:color w:val="000000"/>
                <w:sz w:val="22"/>
              </w:rPr>
              <w:t>0.1761</w:t>
            </w:r>
          </w:p>
        </w:tc>
        <w:tc>
          <w:tcPr>
            <w:tcW w:w="1701" w:type="dxa"/>
            <w:vAlign w:val="bottom"/>
          </w:tcPr>
          <w:p w14:paraId="0B691391" w14:textId="6E89F22E" w:rsidR="00CF00DD" w:rsidRPr="00DC55DC" w:rsidRDefault="00CF00DD" w:rsidP="00CF00DD">
            <w:pPr>
              <w:rPr>
                <w:sz w:val="20"/>
                <w:szCs w:val="20"/>
              </w:rPr>
            </w:pPr>
            <w:r>
              <w:rPr>
                <w:rFonts w:ascii="Calibri" w:hAnsi="Calibri"/>
                <w:color w:val="000000"/>
                <w:sz w:val="22"/>
              </w:rPr>
              <w:t>605.4853</w:t>
            </w:r>
          </w:p>
        </w:tc>
      </w:tr>
      <w:tr w:rsidR="00CF00DD" w14:paraId="2A6F7E5E" w14:textId="77777777" w:rsidTr="00CF00DD">
        <w:trPr>
          <w:trHeight w:hRule="exact" w:val="340"/>
        </w:trPr>
        <w:tc>
          <w:tcPr>
            <w:tcW w:w="3940" w:type="dxa"/>
          </w:tcPr>
          <w:p w14:paraId="21E89049" w14:textId="35657F7E" w:rsidR="00CF00DD" w:rsidRPr="00DC55DC" w:rsidRDefault="00CF00DD" w:rsidP="00CF00DD">
            <w:pPr>
              <w:spacing w:line="360" w:lineRule="auto"/>
              <w:jc w:val="both"/>
              <w:rPr>
                <w:rFonts w:eastAsiaTheme="minorHAnsi" w:cs="Times New Roman"/>
                <w:sz w:val="20"/>
                <w:lang w:eastAsia="en-US"/>
              </w:rPr>
            </w:pPr>
            <w:r>
              <w:rPr>
                <w:rFonts w:eastAsiaTheme="minorHAnsi" w:cs="Times New Roman"/>
                <w:sz w:val="20"/>
                <w:lang w:eastAsia="en-US"/>
              </w:rPr>
              <w:t xml:space="preserve">HES year </w:t>
            </w:r>
          </w:p>
        </w:tc>
        <w:tc>
          <w:tcPr>
            <w:tcW w:w="1116" w:type="dxa"/>
            <w:vAlign w:val="bottom"/>
          </w:tcPr>
          <w:p w14:paraId="71F3FC76" w14:textId="77777777" w:rsidR="00CF00DD" w:rsidRDefault="00CF00DD" w:rsidP="00CF00DD">
            <w:pPr>
              <w:rPr>
                <w:rFonts w:ascii="Calibri" w:hAnsi="Calibri"/>
                <w:color w:val="000000"/>
                <w:sz w:val="22"/>
              </w:rPr>
            </w:pPr>
          </w:p>
        </w:tc>
        <w:tc>
          <w:tcPr>
            <w:tcW w:w="1176" w:type="dxa"/>
            <w:vAlign w:val="bottom"/>
          </w:tcPr>
          <w:p w14:paraId="382920B2" w14:textId="77777777" w:rsidR="00CF00DD" w:rsidRDefault="00CF00DD" w:rsidP="00CF00DD">
            <w:pPr>
              <w:rPr>
                <w:rFonts w:ascii="Calibri" w:hAnsi="Calibri"/>
                <w:color w:val="000000"/>
                <w:sz w:val="22"/>
              </w:rPr>
            </w:pPr>
          </w:p>
        </w:tc>
        <w:tc>
          <w:tcPr>
            <w:tcW w:w="1701" w:type="dxa"/>
            <w:vAlign w:val="bottom"/>
          </w:tcPr>
          <w:p w14:paraId="1CD820D0" w14:textId="77777777" w:rsidR="00CF00DD" w:rsidRDefault="00CF00DD" w:rsidP="00CF00DD">
            <w:pPr>
              <w:rPr>
                <w:rFonts w:ascii="Calibri" w:hAnsi="Calibri"/>
                <w:color w:val="000000"/>
                <w:sz w:val="22"/>
              </w:rPr>
            </w:pPr>
          </w:p>
        </w:tc>
      </w:tr>
      <w:tr w:rsidR="00CF00DD" w14:paraId="5D2F3252" w14:textId="77777777" w:rsidTr="00CF00DD">
        <w:trPr>
          <w:trHeight w:hRule="exact" w:val="340"/>
        </w:trPr>
        <w:tc>
          <w:tcPr>
            <w:tcW w:w="3940" w:type="dxa"/>
          </w:tcPr>
          <w:p w14:paraId="12523AE3" w14:textId="11D8CEF5" w:rsidR="00CF00DD" w:rsidRPr="00CF00DD" w:rsidRDefault="00CF00DD" w:rsidP="00CF00DD">
            <w:pPr>
              <w:pStyle w:val="ListParagraph"/>
              <w:numPr>
                <w:ilvl w:val="0"/>
                <w:numId w:val="39"/>
              </w:numPr>
              <w:spacing w:line="360" w:lineRule="auto"/>
              <w:jc w:val="both"/>
              <w:rPr>
                <w:rFonts w:eastAsiaTheme="minorHAnsi" w:cs="Times New Roman"/>
                <w:sz w:val="20"/>
                <w:lang w:eastAsia="en-US"/>
              </w:rPr>
            </w:pPr>
            <w:r w:rsidRPr="00CF00DD">
              <w:rPr>
                <w:rFonts w:eastAsiaTheme="minorHAnsi" w:cs="Times New Roman"/>
                <w:sz w:val="20"/>
                <w:lang w:eastAsia="en-US"/>
              </w:rPr>
              <w:t>200809</w:t>
            </w:r>
          </w:p>
        </w:tc>
        <w:tc>
          <w:tcPr>
            <w:tcW w:w="1116" w:type="dxa"/>
          </w:tcPr>
          <w:p w14:paraId="77A9C2F8" w14:textId="458839BC" w:rsidR="00CF00DD" w:rsidRDefault="00CF00DD" w:rsidP="00CF00DD">
            <w:pPr>
              <w:rPr>
                <w:rFonts w:ascii="Calibri" w:hAnsi="Calibri"/>
                <w:color w:val="000000"/>
                <w:sz w:val="22"/>
              </w:rPr>
            </w:pPr>
            <w:r>
              <w:rPr>
                <w:sz w:val="20"/>
                <w:szCs w:val="20"/>
              </w:rPr>
              <w:t>0</w:t>
            </w:r>
          </w:p>
        </w:tc>
        <w:tc>
          <w:tcPr>
            <w:tcW w:w="1176" w:type="dxa"/>
          </w:tcPr>
          <w:p w14:paraId="46A9A040" w14:textId="161BCBFF" w:rsidR="00CF00DD" w:rsidRDefault="00CF00DD" w:rsidP="00CF00DD">
            <w:pPr>
              <w:rPr>
                <w:rFonts w:ascii="Calibri" w:hAnsi="Calibri"/>
                <w:color w:val="000000"/>
                <w:sz w:val="22"/>
              </w:rPr>
            </w:pPr>
            <w:r>
              <w:rPr>
                <w:sz w:val="20"/>
                <w:szCs w:val="20"/>
              </w:rPr>
              <w:t>0</w:t>
            </w:r>
          </w:p>
        </w:tc>
        <w:tc>
          <w:tcPr>
            <w:tcW w:w="1701" w:type="dxa"/>
          </w:tcPr>
          <w:p w14:paraId="74759056" w14:textId="436DC24A" w:rsidR="00CF00DD" w:rsidRDefault="00CF00DD" w:rsidP="00CF00DD">
            <w:pPr>
              <w:rPr>
                <w:rFonts w:ascii="Calibri" w:hAnsi="Calibri"/>
                <w:color w:val="000000"/>
                <w:sz w:val="22"/>
              </w:rPr>
            </w:pPr>
            <w:r>
              <w:rPr>
                <w:sz w:val="20"/>
                <w:szCs w:val="20"/>
              </w:rPr>
              <w:t>1</w:t>
            </w:r>
          </w:p>
        </w:tc>
      </w:tr>
      <w:tr w:rsidR="00CF00DD" w14:paraId="0910E520" w14:textId="77777777" w:rsidTr="00CF00DD">
        <w:trPr>
          <w:trHeight w:hRule="exact" w:val="340"/>
        </w:trPr>
        <w:tc>
          <w:tcPr>
            <w:tcW w:w="3940" w:type="dxa"/>
          </w:tcPr>
          <w:p w14:paraId="2AF767E0" w14:textId="77777777" w:rsidR="00CF00DD" w:rsidRPr="00DC55DC" w:rsidRDefault="00CF00DD" w:rsidP="00CF00DD">
            <w:pPr>
              <w:pStyle w:val="ListParagraph"/>
              <w:numPr>
                <w:ilvl w:val="0"/>
                <w:numId w:val="39"/>
              </w:numPr>
              <w:spacing w:line="360" w:lineRule="auto"/>
              <w:jc w:val="both"/>
              <w:rPr>
                <w:rFonts w:eastAsiaTheme="minorHAnsi" w:cs="Times New Roman"/>
                <w:sz w:val="20"/>
                <w:lang w:eastAsia="en-US"/>
              </w:rPr>
            </w:pPr>
            <w:r w:rsidRPr="00DC55DC">
              <w:rPr>
                <w:rFonts w:eastAsiaTheme="minorHAnsi" w:cs="Times New Roman"/>
                <w:sz w:val="20"/>
                <w:lang w:eastAsia="en-US"/>
              </w:rPr>
              <w:t>200910</w:t>
            </w:r>
          </w:p>
        </w:tc>
        <w:tc>
          <w:tcPr>
            <w:tcW w:w="1116" w:type="dxa"/>
            <w:vAlign w:val="bottom"/>
          </w:tcPr>
          <w:p w14:paraId="7058D623" w14:textId="0B4562E2" w:rsidR="00CF00DD" w:rsidRPr="00DC55DC" w:rsidRDefault="00CF00DD" w:rsidP="00CF00DD">
            <w:pPr>
              <w:rPr>
                <w:sz w:val="20"/>
                <w:szCs w:val="20"/>
              </w:rPr>
            </w:pPr>
            <w:r>
              <w:rPr>
                <w:rFonts w:ascii="Calibri" w:hAnsi="Calibri"/>
                <w:color w:val="000000"/>
                <w:sz w:val="22"/>
              </w:rPr>
              <w:t>0.1054</w:t>
            </w:r>
          </w:p>
        </w:tc>
        <w:tc>
          <w:tcPr>
            <w:tcW w:w="1176" w:type="dxa"/>
            <w:vAlign w:val="bottom"/>
          </w:tcPr>
          <w:p w14:paraId="1B1BEDC9" w14:textId="13BB51B6" w:rsidR="00CF00DD" w:rsidRPr="00DC55DC" w:rsidRDefault="00CF00DD" w:rsidP="00CF00DD">
            <w:pPr>
              <w:rPr>
                <w:sz w:val="20"/>
                <w:szCs w:val="20"/>
              </w:rPr>
            </w:pPr>
            <w:r>
              <w:rPr>
                <w:rFonts w:ascii="Calibri" w:hAnsi="Calibri"/>
                <w:color w:val="000000"/>
                <w:sz w:val="22"/>
              </w:rPr>
              <w:t>0.0262</w:t>
            </w:r>
          </w:p>
        </w:tc>
        <w:tc>
          <w:tcPr>
            <w:tcW w:w="1701" w:type="dxa"/>
            <w:vAlign w:val="bottom"/>
          </w:tcPr>
          <w:p w14:paraId="0F4FF258" w14:textId="14DEBCE5" w:rsidR="00CF00DD" w:rsidRPr="00DC55DC" w:rsidRDefault="00CF00DD" w:rsidP="00CF00DD">
            <w:pPr>
              <w:rPr>
                <w:sz w:val="20"/>
                <w:szCs w:val="20"/>
              </w:rPr>
            </w:pPr>
            <w:r>
              <w:rPr>
                <w:rFonts w:ascii="Calibri" w:hAnsi="Calibri"/>
                <w:color w:val="000000"/>
                <w:sz w:val="22"/>
              </w:rPr>
              <w:t>1.1111</w:t>
            </w:r>
          </w:p>
        </w:tc>
      </w:tr>
      <w:tr w:rsidR="00CF00DD" w14:paraId="373AE930" w14:textId="77777777" w:rsidTr="00CF00DD">
        <w:trPr>
          <w:trHeight w:hRule="exact" w:val="340"/>
        </w:trPr>
        <w:tc>
          <w:tcPr>
            <w:tcW w:w="3940" w:type="dxa"/>
          </w:tcPr>
          <w:p w14:paraId="6832B738" w14:textId="77777777" w:rsidR="00CF00DD" w:rsidRPr="00DC55DC" w:rsidRDefault="00CF00DD" w:rsidP="00CF00DD">
            <w:pPr>
              <w:pStyle w:val="ListParagraph"/>
              <w:numPr>
                <w:ilvl w:val="0"/>
                <w:numId w:val="39"/>
              </w:numPr>
              <w:spacing w:line="360" w:lineRule="auto"/>
              <w:jc w:val="both"/>
              <w:rPr>
                <w:rFonts w:eastAsiaTheme="minorHAnsi" w:cs="Times New Roman"/>
                <w:sz w:val="20"/>
                <w:lang w:eastAsia="en-US"/>
              </w:rPr>
            </w:pPr>
            <w:r w:rsidRPr="00DC55DC">
              <w:rPr>
                <w:rFonts w:eastAsiaTheme="minorHAnsi" w:cs="Times New Roman"/>
                <w:sz w:val="20"/>
                <w:lang w:eastAsia="en-US"/>
              </w:rPr>
              <w:t>201011</w:t>
            </w:r>
          </w:p>
        </w:tc>
        <w:tc>
          <w:tcPr>
            <w:tcW w:w="1116" w:type="dxa"/>
            <w:vAlign w:val="bottom"/>
          </w:tcPr>
          <w:p w14:paraId="7CABBAD4" w14:textId="1F78E727" w:rsidR="00CF00DD" w:rsidRPr="00DC55DC" w:rsidRDefault="00CF00DD" w:rsidP="00CF00DD">
            <w:pPr>
              <w:rPr>
                <w:sz w:val="20"/>
                <w:szCs w:val="20"/>
              </w:rPr>
            </w:pPr>
            <w:r>
              <w:rPr>
                <w:rFonts w:ascii="Calibri" w:hAnsi="Calibri"/>
                <w:color w:val="000000"/>
                <w:sz w:val="22"/>
              </w:rPr>
              <w:t>0.2596</w:t>
            </w:r>
          </w:p>
        </w:tc>
        <w:tc>
          <w:tcPr>
            <w:tcW w:w="1176" w:type="dxa"/>
            <w:vAlign w:val="bottom"/>
          </w:tcPr>
          <w:p w14:paraId="632B4EE6" w14:textId="04275C2B" w:rsidR="00CF00DD" w:rsidRPr="00DC55DC" w:rsidRDefault="00CF00DD" w:rsidP="00CF00DD">
            <w:pPr>
              <w:rPr>
                <w:sz w:val="20"/>
                <w:szCs w:val="20"/>
              </w:rPr>
            </w:pPr>
            <w:r>
              <w:rPr>
                <w:rFonts w:ascii="Calibri" w:hAnsi="Calibri"/>
                <w:color w:val="000000"/>
                <w:sz w:val="22"/>
              </w:rPr>
              <w:t>0.0276</w:t>
            </w:r>
          </w:p>
        </w:tc>
        <w:tc>
          <w:tcPr>
            <w:tcW w:w="1701" w:type="dxa"/>
            <w:vAlign w:val="bottom"/>
          </w:tcPr>
          <w:p w14:paraId="0C8075FC" w14:textId="10FE7993" w:rsidR="00CF00DD" w:rsidRPr="00DC55DC" w:rsidRDefault="00CF00DD" w:rsidP="00CF00DD">
            <w:pPr>
              <w:rPr>
                <w:sz w:val="20"/>
                <w:szCs w:val="20"/>
              </w:rPr>
            </w:pPr>
            <w:r>
              <w:rPr>
                <w:rFonts w:ascii="Calibri" w:hAnsi="Calibri"/>
                <w:color w:val="000000"/>
                <w:sz w:val="22"/>
              </w:rPr>
              <w:t>1.2964</w:t>
            </w:r>
          </w:p>
        </w:tc>
      </w:tr>
      <w:tr w:rsidR="00CF00DD" w14:paraId="6B2B823F" w14:textId="77777777" w:rsidTr="00CF00DD">
        <w:trPr>
          <w:trHeight w:hRule="exact" w:val="340"/>
        </w:trPr>
        <w:tc>
          <w:tcPr>
            <w:tcW w:w="3940" w:type="dxa"/>
          </w:tcPr>
          <w:p w14:paraId="6A10A975" w14:textId="77777777" w:rsidR="00CF00DD" w:rsidRPr="00DC55DC" w:rsidRDefault="00CF00DD" w:rsidP="00CF00DD">
            <w:pPr>
              <w:pStyle w:val="ListParagraph"/>
              <w:numPr>
                <w:ilvl w:val="0"/>
                <w:numId w:val="39"/>
              </w:numPr>
              <w:spacing w:line="360" w:lineRule="auto"/>
              <w:jc w:val="both"/>
              <w:rPr>
                <w:rFonts w:eastAsiaTheme="minorHAnsi" w:cs="Times New Roman"/>
                <w:sz w:val="20"/>
                <w:lang w:eastAsia="en-US"/>
              </w:rPr>
            </w:pPr>
            <w:r w:rsidRPr="00DC55DC">
              <w:rPr>
                <w:rFonts w:eastAsiaTheme="minorHAnsi" w:cs="Times New Roman"/>
                <w:sz w:val="20"/>
                <w:lang w:eastAsia="en-US"/>
              </w:rPr>
              <w:t>201112</w:t>
            </w:r>
          </w:p>
        </w:tc>
        <w:tc>
          <w:tcPr>
            <w:tcW w:w="1116" w:type="dxa"/>
            <w:vAlign w:val="bottom"/>
          </w:tcPr>
          <w:p w14:paraId="1C41D13C" w14:textId="3D4DC9A7" w:rsidR="00CF00DD" w:rsidRPr="00DC55DC" w:rsidRDefault="00CF00DD" w:rsidP="00CF00DD">
            <w:pPr>
              <w:rPr>
                <w:sz w:val="20"/>
                <w:szCs w:val="20"/>
              </w:rPr>
            </w:pPr>
            <w:r>
              <w:rPr>
                <w:rFonts w:ascii="Calibri" w:hAnsi="Calibri"/>
                <w:color w:val="000000"/>
                <w:sz w:val="22"/>
              </w:rPr>
              <w:t>0.2800</w:t>
            </w:r>
          </w:p>
        </w:tc>
        <w:tc>
          <w:tcPr>
            <w:tcW w:w="1176" w:type="dxa"/>
            <w:vAlign w:val="bottom"/>
          </w:tcPr>
          <w:p w14:paraId="2404BB92" w14:textId="1CE2862E" w:rsidR="00CF00DD" w:rsidRPr="00DC55DC" w:rsidRDefault="00CF00DD" w:rsidP="00CF00DD">
            <w:pPr>
              <w:rPr>
                <w:sz w:val="20"/>
                <w:szCs w:val="20"/>
              </w:rPr>
            </w:pPr>
            <w:r>
              <w:rPr>
                <w:rFonts w:ascii="Calibri" w:hAnsi="Calibri"/>
                <w:color w:val="000000"/>
                <w:sz w:val="22"/>
              </w:rPr>
              <w:t>0.0279</w:t>
            </w:r>
          </w:p>
        </w:tc>
        <w:tc>
          <w:tcPr>
            <w:tcW w:w="1701" w:type="dxa"/>
            <w:vAlign w:val="bottom"/>
          </w:tcPr>
          <w:p w14:paraId="68143B15" w14:textId="1FDFD601" w:rsidR="00CF00DD" w:rsidRPr="00DC55DC" w:rsidRDefault="00CF00DD" w:rsidP="00CF00DD">
            <w:pPr>
              <w:rPr>
                <w:sz w:val="20"/>
                <w:szCs w:val="20"/>
              </w:rPr>
            </w:pPr>
            <w:r>
              <w:rPr>
                <w:rFonts w:ascii="Calibri" w:hAnsi="Calibri"/>
                <w:color w:val="000000"/>
                <w:sz w:val="22"/>
              </w:rPr>
              <w:t>1.3231</w:t>
            </w:r>
          </w:p>
        </w:tc>
      </w:tr>
      <w:tr w:rsidR="00CF00DD" w14:paraId="6F24396C" w14:textId="77777777" w:rsidTr="00CF00DD">
        <w:trPr>
          <w:trHeight w:hRule="exact" w:val="340"/>
        </w:trPr>
        <w:tc>
          <w:tcPr>
            <w:tcW w:w="3940" w:type="dxa"/>
          </w:tcPr>
          <w:p w14:paraId="7F30A11F" w14:textId="77777777" w:rsidR="00CF00DD" w:rsidRPr="00DC55DC" w:rsidRDefault="00CF00DD" w:rsidP="00CF00DD">
            <w:pPr>
              <w:pStyle w:val="ListParagraph"/>
              <w:numPr>
                <w:ilvl w:val="0"/>
                <w:numId w:val="39"/>
              </w:numPr>
              <w:spacing w:line="360" w:lineRule="auto"/>
              <w:jc w:val="both"/>
              <w:rPr>
                <w:rFonts w:eastAsiaTheme="minorHAnsi" w:cs="Times New Roman"/>
                <w:sz w:val="20"/>
                <w:lang w:eastAsia="en-US"/>
              </w:rPr>
            </w:pPr>
            <w:r w:rsidRPr="00DC55DC">
              <w:rPr>
                <w:rFonts w:eastAsiaTheme="minorHAnsi" w:cs="Times New Roman"/>
                <w:sz w:val="20"/>
                <w:lang w:eastAsia="en-US"/>
              </w:rPr>
              <w:t>201213</w:t>
            </w:r>
          </w:p>
        </w:tc>
        <w:tc>
          <w:tcPr>
            <w:tcW w:w="1116" w:type="dxa"/>
            <w:vAlign w:val="bottom"/>
          </w:tcPr>
          <w:p w14:paraId="07A21462" w14:textId="3DC7F9E7" w:rsidR="00CF00DD" w:rsidRPr="00DC55DC" w:rsidRDefault="00CF00DD" w:rsidP="00CF00DD">
            <w:pPr>
              <w:rPr>
                <w:sz w:val="20"/>
                <w:szCs w:val="20"/>
              </w:rPr>
            </w:pPr>
            <w:r>
              <w:rPr>
                <w:rFonts w:ascii="Calibri" w:hAnsi="Calibri"/>
                <w:color w:val="000000"/>
                <w:sz w:val="22"/>
              </w:rPr>
              <w:t>0.2740</w:t>
            </w:r>
          </w:p>
        </w:tc>
        <w:tc>
          <w:tcPr>
            <w:tcW w:w="1176" w:type="dxa"/>
            <w:vAlign w:val="bottom"/>
          </w:tcPr>
          <w:p w14:paraId="6FF4994A" w14:textId="7498CCBF" w:rsidR="00CF00DD" w:rsidRPr="00DC55DC" w:rsidRDefault="00CF00DD" w:rsidP="00CF00DD">
            <w:pPr>
              <w:rPr>
                <w:sz w:val="20"/>
                <w:szCs w:val="20"/>
              </w:rPr>
            </w:pPr>
            <w:r>
              <w:rPr>
                <w:rFonts w:ascii="Calibri" w:hAnsi="Calibri"/>
                <w:color w:val="000000"/>
                <w:sz w:val="22"/>
              </w:rPr>
              <w:t>0.0290</w:t>
            </w:r>
          </w:p>
        </w:tc>
        <w:tc>
          <w:tcPr>
            <w:tcW w:w="1701" w:type="dxa"/>
            <w:vAlign w:val="bottom"/>
          </w:tcPr>
          <w:p w14:paraId="259563D9" w14:textId="49467F37" w:rsidR="00CF00DD" w:rsidRPr="00DC55DC" w:rsidRDefault="00CF00DD" w:rsidP="00CF00DD">
            <w:pPr>
              <w:rPr>
                <w:sz w:val="20"/>
                <w:szCs w:val="20"/>
              </w:rPr>
            </w:pPr>
            <w:r>
              <w:rPr>
                <w:rFonts w:ascii="Calibri" w:hAnsi="Calibri"/>
                <w:color w:val="000000"/>
                <w:sz w:val="22"/>
              </w:rPr>
              <w:t>1.3153</w:t>
            </w:r>
          </w:p>
        </w:tc>
      </w:tr>
      <w:tr w:rsidR="00CF00DD" w14:paraId="6369032E" w14:textId="77777777" w:rsidTr="00CF00DD">
        <w:trPr>
          <w:trHeight w:hRule="exact" w:val="340"/>
        </w:trPr>
        <w:tc>
          <w:tcPr>
            <w:tcW w:w="3940" w:type="dxa"/>
          </w:tcPr>
          <w:p w14:paraId="5BBBC9E9" w14:textId="77777777" w:rsidR="00CF00DD" w:rsidRPr="00DC55DC" w:rsidRDefault="00CF00DD" w:rsidP="00CF00DD">
            <w:pPr>
              <w:pStyle w:val="ListParagraph"/>
              <w:numPr>
                <w:ilvl w:val="0"/>
                <w:numId w:val="39"/>
              </w:numPr>
              <w:spacing w:line="360" w:lineRule="auto"/>
              <w:jc w:val="both"/>
              <w:rPr>
                <w:rFonts w:eastAsiaTheme="minorHAnsi" w:cs="Times New Roman"/>
                <w:sz w:val="20"/>
                <w:lang w:eastAsia="en-US"/>
              </w:rPr>
            </w:pPr>
            <w:r w:rsidRPr="00DC55DC">
              <w:rPr>
                <w:rFonts w:eastAsiaTheme="minorHAnsi" w:cs="Times New Roman"/>
                <w:sz w:val="20"/>
                <w:lang w:eastAsia="en-US"/>
              </w:rPr>
              <w:t>201314</w:t>
            </w:r>
          </w:p>
        </w:tc>
        <w:tc>
          <w:tcPr>
            <w:tcW w:w="1116" w:type="dxa"/>
            <w:vAlign w:val="bottom"/>
          </w:tcPr>
          <w:p w14:paraId="4E3DDC37" w14:textId="34B869E1" w:rsidR="00CF00DD" w:rsidRPr="00DC55DC" w:rsidRDefault="00CF00DD" w:rsidP="00CF00DD">
            <w:pPr>
              <w:rPr>
                <w:sz w:val="20"/>
                <w:szCs w:val="20"/>
              </w:rPr>
            </w:pPr>
            <w:r>
              <w:rPr>
                <w:rFonts w:ascii="Calibri" w:hAnsi="Calibri"/>
                <w:color w:val="000000"/>
                <w:sz w:val="22"/>
              </w:rPr>
              <w:t>0.2479</w:t>
            </w:r>
          </w:p>
        </w:tc>
        <w:tc>
          <w:tcPr>
            <w:tcW w:w="1176" w:type="dxa"/>
            <w:vAlign w:val="bottom"/>
          </w:tcPr>
          <w:p w14:paraId="36360B63" w14:textId="46253A77" w:rsidR="00CF00DD" w:rsidRPr="00DC55DC" w:rsidRDefault="00CF00DD" w:rsidP="00CF00DD">
            <w:pPr>
              <w:rPr>
                <w:sz w:val="20"/>
                <w:szCs w:val="20"/>
              </w:rPr>
            </w:pPr>
            <w:r>
              <w:rPr>
                <w:rFonts w:ascii="Calibri" w:hAnsi="Calibri"/>
                <w:color w:val="000000"/>
                <w:sz w:val="22"/>
              </w:rPr>
              <w:t>0.0292</w:t>
            </w:r>
          </w:p>
        </w:tc>
        <w:tc>
          <w:tcPr>
            <w:tcW w:w="1701" w:type="dxa"/>
            <w:vAlign w:val="bottom"/>
          </w:tcPr>
          <w:p w14:paraId="3C855DB7" w14:textId="6A7BA384" w:rsidR="00CF00DD" w:rsidRPr="00DC55DC" w:rsidRDefault="00CF00DD" w:rsidP="00CF00DD">
            <w:pPr>
              <w:rPr>
                <w:sz w:val="20"/>
                <w:szCs w:val="20"/>
              </w:rPr>
            </w:pPr>
            <w:r>
              <w:rPr>
                <w:rFonts w:ascii="Calibri" w:hAnsi="Calibri"/>
                <w:color w:val="000000"/>
                <w:sz w:val="22"/>
              </w:rPr>
              <w:t>1.2813</w:t>
            </w:r>
          </w:p>
        </w:tc>
      </w:tr>
      <w:tr w:rsidR="00CF00DD" w14:paraId="28008E3C" w14:textId="77777777" w:rsidTr="00CF00DD">
        <w:trPr>
          <w:trHeight w:hRule="exact" w:val="340"/>
        </w:trPr>
        <w:tc>
          <w:tcPr>
            <w:tcW w:w="3940" w:type="dxa"/>
          </w:tcPr>
          <w:p w14:paraId="4EABE369" w14:textId="77777777" w:rsidR="00CF00DD" w:rsidRPr="00DC55DC" w:rsidRDefault="00CF00DD" w:rsidP="00CF00DD">
            <w:pPr>
              <w:pStyle w:val="ListParagraph"/>
              <w:numPr>
                <w:ilvl w:val="0"/>
                <w:numId w:val="39"/>
              </w:numPr>
              <w:spacing w:line="360" w:lineRule="auto"/>
              <w:jc w:val="both"/>
              <w:rPr>
                <w:rFonts w:eastAsiaTheme="minorHAnsi" w:cs="Times New Roman"/>
                <w:sz w:val="20"/>
                <w:lang w:eastAsia="en-US"/>
              </w:rPr>
            </w:pPr>
            <w:r w:rsidRPr="00DC55DC">
              <w:rPr>
                <w:rFonts w:eastAsiaTheme="minorHAnsi" w:cs="Times New Roman"/>
                <w:sz w:val="20"/>
                <w:lang w:eastAsia="en-US"/>
              </w:rPr>
              <w:t>201415</w:t>
            </w:r>
          </w:p>
        </w:tc>
        <w:tc>
          <w:tcPr>
            <w:tcW w:w="1116" w:type="dxa"/>
            <w:vAlign w:val="bottom"/>
          </w:tcPr>
          <w:p w14:paraId="33401BF8" w14:textId="5575A127" w:rsidR="00CF00DD" w:rsidRPr="00DC55DC" w:rsidRDefault="00CF00DD" w:rsidP="00CF00DD">
            <w:pPr>
              <w:rPr>
                <w:sz w:val="20"/>
                <w:szCs w:val="20"/>
              </w:rPr>
            </w:pPr>
            <w:r>
              <w:rPr>
                <w:rFonts w:ascii="Calibri" w:hAnsi="Calibri"/>
                <w:color w:val="000000"/>
                <w:sz w:val="22"/>
              </w:rPr>
              <w:t>0.3321</w:t>
            </w:r>
          </w:p>
        </w:tc>
        <w:tc>
          <w:tcPr>
            <w:tcW w:w="1176" w:type="dxa"/>
            <w:vAlign w:val="bottom"/>
          </w:tcPr>
          <w:p w14:paraId="3D7DD75B" w14:textId="4A7BAEDE" w:rsidR="00CF00DD" w:rsidRPr="00DC55DC" w:rsidRDefault="00CF00DD" w:rsidP="00CF00DD">
            <w:pPr>
              <w:rPr>
                <w:sz w:val="20"/>
                <w:szCs w:val="20"/>
              </w:rPr>
            </w:pPr>
            <w:r>
              <w:rPr>
                <w:rFonts w:ascii="Calibri" w:hAnsi="Calibri"/>
                <w:color w:val="000000"/>
                <w:sz w:val="22"/>
              </w:rPr>
              <w:t>0.0311</w:t>
            </w:r>
          </w:p>
        </w:tc>
        <w:tc>
          <w:tcPr>
            <w:tcW w:w="1701" w:type="dxa"/>
            <w:vAlign w:val="bottom"/>
          </w:tcPr>
          <w:p w14:paraId="77E50512" w14:textId="5146A806" w:rsidR="00CF00DD" w:rsidRPr="00DC55DC" w:rsidRDefault="00CF00DD" w:rsidP="00CF00DD">
            <w:pPr>
              <w:rPr>
                <w:sz w:val="20"/>
                <w:szCs w:val="20"/>
              </w:rPr>
            </w:pPr>
            <w:r>
              <w:rPr>
                <w:rFonts w:ascii="Calibri" w:hAnsi="Calibri"/>
                <w:color w:val="000000"/>
                <w:sz w:val="22"/>
              </w:rPr>
              <w:t>1.3939</w:t>
            </w:r>
          </w:p>
        </w:tc>
      </w:tr>
      <w:tr w:rsidR="00CF00DD" w14:paraId="5EA60838" w14:textId="77777777" w:rsidTr="00CF00DD">
        <w:trPr>
          <w:trHeight w:hRule="exact" w:val="340"/>
        </w:trPr>
        <w:tc>
          <w:tcPr>
            <w:tcW w:w="3940" w:type="dxa"/>
          </w:tcPr>
          <w:p w14:paraId="385D4FAA" w14:textId="77777777" w:rsidR="00CF00DD" w:rsidRPr="00DC55DC" w:rsidRDefault="00CF00DD" w:rsidP="00CF00DD">
            <w:pPr>
              <w:spacing w:line="360" w:lineRule="auto"/>
              <w:jc w:val="both"/>
              <w:rPr>
                <w:rFonts w:eastAsiaTheme="minorHAnsi" w:cs="Times New Roman"/>
                <w:sz w:val="20"/>
                <w:lang w:eastAsia="en-US"/>
              </w:rPr>
            </w:pPr>
            <w:r w:rsidRPr="00DC55DC">
              <w:rPr>
                <w:rFonts w:eastAsiaTheme="minorHAnsi" w:cs="Times New Roman"/>
                <w:sz w:val="20"/>
                <w:lang w:eastAsia="en-US"/>
              </w:rPr>
              <w:t>In-hospital Death</w:t>
            </w:r>
          </w:p>
        </w:tc>
        <w:tc>
          <w:tcPr>
            <w:tcW w:w="1116" w:type="dxa"/>
            <w:vAlign w:val="bottom"/>
          </w:tcPr>
          <w:p w14:paraId="6EC60B9D" w14:textId="71A95CC6" w:rsidR="00CF00DD" w:rsidRPr="00DC55DC" w:rsidRDefault="00CF00DD" w:rsidP="00CF00DD">
            <w:pPr>
              <w:rPr>
                <w:sz w:val="20"/>
                <w:szCs w:val="20"/>
              </w:rPr>
            </w:pPr>
            <w:r>
              <w:rPr>
                <w:rFonts w:ascii="Calibri" w:hAnsi="Calibri"/>
                <w:color w:val="000000"/>
                <w:sz w:val="22"/>
              </w:rPr>
              <w:t>0.5027</w:t>
            </w:r>
          </w:p>
        </w:tc>
        <w:tc>
          <w:tcPr>
            <w:tcW w:w="1176" w:type="dxa"/>
            <w:vAlign w:val="bottom"/>
          </w:tcPr>
          <w:p w14:paraId="3EB88497" w14:textId="3AB4BA07" w:rsidR="00CF00DD" w:rsidRPr="00DC55DC" w:rsidRDefault="00CF00DD" w:rsidP="00CF00DD">
            <w:pPr>
              <w:rPr>
                <w:sz w:val="20"/>
                <w:szCs w:val="20"/>
              </w:rPr>
            </w:pPr>
            <w:r>
              <w:rPr>
                <w:rFonts w:ascii="Calibri" w:hAnsi="Calibri"/>
                <w:color w:val="000000"/>
                <w:sz w:val="22"/>
              </w:rPr>
              <w:t>0.0360</w:t>
            </w:r>
          </w:p>
        </w:tc>
        <w:tc>
          <w:tcPr>
            <w:tcW w:w="1701" w:type="dxa"/>
            <w:vAlign w:val="bottom"/>
          </w:tcPr>
          <w:p w14:paraId="2E49C20C" w14:textId="4DAF06BC" w:rsidR="00CF00DD" w:rsidRPr="00DC55DC" w:rsidRDefault="00CF00DD" w:rsidP="00CF00DD">
            <w:pPr>
              <w:rPr>
                <w:sz w:val="20"/>
                <w:szCs w:val="20"/>
              </w:rPr>
            </w:pPr>
            <w:r>
              <w:rPr>
                <w:rFonts w:ascii="Calibri" w:hAnsi="Calibri"/>
                <w:color w:val="000000"/>
                <w:sz w:val="22"/>
              </w:rPr>
              <w:t>1.6532</w:t>
            </w:r>
          </w:p>
        </w:tc>
      </w:tr>
      <w:tr w:rsidR="00CF00DD" w14:paraId="5BBA1203" w14:textId="77777777" w:rsidTr="00CF00DD">
        <w:trPr>
          <w:trHeight w:hRule="exact" w:val="340"/>
        </w:trPr>
        <w:tc>
          <w:tcPr>
            <w:tcW w:w="3940" w:type="dxa"/>
          </w:tcPr>
          <w:p w14:paraId="1A3D25EC" w14:textId="77D76377" w:rsidR="00CF00DD" w:rsidRPr="00DC55DC" w:rsidRDefault="00CF00DD" w:rsidP="00CF00DD">
            <w:pPr>
              <w:spacing w:line="360" w:lineRule="auto"/>
              <w:jc w:val="both"/>
              <w:rPr>
                <w:rFonts w:eastAsiaTheme="minorHAnsi" w:cs="Times New Roman"/>
                <w:sz w:val="20"/>
                <w:lang w:eastAsia="en-US"/>
              </w:rPr>
            </w:pPr>
            <w:r>
              <w:rPr>
                <w:rFonts w:eastAsiaTheme="minorHAnsi" w:cs="Times New Roman"/>
                <w:sz w:val="20"/>
                <w:lang w:eastAsia="en-US"/>
              </w:rPr>
              <w:t>Age (continuous)</w:t>
            </w:r>
          </w:p>
        </w:tc>
        <w:tc>
          <w:tcPr>
            <w:tcW w:w="1116" w:type="dxa"/>
            <w:vAlign w:val="bottom"/>
          </w:tcPr>
          <w:p w14:paraId="36E480DD" w14:textId="481FD4D2" w:rsidR="00CF00DD" w:rsidRPr="00DC55DC" w:rsidRDefault="00CF00DD" w:rsidP="00CF00DD">
            <w:pPr>
              <w:rPr>
                <w:sz w:val="20"/>
                <w:szCs w:val="20"/>
              </w:rPr>
            </w:pPr>
            <w:r>
              <w:rPr>
                <w:rFonts w:ascii="Calibri" w:hAnsi="Calibri"/>
                <w:color w:val="000000"/>
                <w:sz w:val="22"/>
              </w:rPr>
              <w:t>0.0023</w:t>
            </w:r>
          </w:p>
        </w:tc>
        <w:tc>
          <w:tcPr>
            <w:tcW w:w="1176" w:type="dxa"/>
            <w:vAlign w:val="bottom"/>
          </w:tcPr>
          <w:p w14:paraId="7730659D" w14:textId="5A186A53" w:rsidR="00CF00DD" w:rsidRPr="00DC55DC" w:rsidRDefault="00CF00DD" w:rsidP="00CF00DD">
            <w:pPr>
              <w:rPr>
                <w:sz w:val="20"/>
                <w:szCs w:val="20"/>
              </w:rPr>
            </w:pPr>
            <w:r>
              <w:rPr>
                <w:rFonts w:ascii="Calibri" w:hAnsi="Calibri"/>
                <w:color w:val="000000"/>
                <w:sz w:val="22"/>
              </w:rPr>
              <w:t>0.0010</w:t>
            </w:r>
          </w:p>
        </w:tc>
        <w:tc>
          <w:tcPr>
            <w:tcW w:w="1701" w:type="dxa"/>
            <w:vAlign w:val="bottom"/>
          </w:tcPr>
          <w:p w14:paraId="0D825315" w14:textId="42157919" w:rsidR="00CF00DD" w:rsidRPr="00DC55DC" w:rsidRDefault="00CF00DD" w:rsidP="00CF00DD">
            <w:pPr>
              <w:rPr>
                <w:sz w:val="20"/>
                <w:szCs w:val="20"/>
              </w:rPr>
            </w:pPr>
            <w:r>
              <w:rPr>
                <w:rFonts w:ascii="Calibri" w:hAnsi="Calibri"/>
                <w:color w:val="000000"/>
                <w:sz w:val="22"/>
              </w:rPr>
              <w:t>1.0023</w:t>
            </w:r>
          </w:p>
        </w:tc>
      </w:tr>
      <w:tr w:rsidR="00CF00DD" w14:paraId="27514FE9" w14:textId="77777777" w:rsidTr="00CF00DD">
        <w:trPr>
          <w:trHeight w:hRule="exact" w:val="340"/>
        </w:trPr>
        <w:tc>
          <w:tcPr>
            <w:tcW w:w="3940" w:type="dxa"/>
          </w:tcPr>
          <w:p w14:paraId="520230BE" w14:textId="15BE1F8B" w:rsidR="00CF00DD" w:rsidRDefault="00CF00DD" w:rsidP="00CF00DD">
            <w:pPr>
              <w:spacing w:line="360" w:lineRule="auto"/>
              <w:jc w:val="both"/>
              <w:rPr>
                <w:rFonts w:eastAsiaTheme="minorHAnsi" w:cs="Times New Roman"/>
                <w:sz w:val="20"/>
                <w:lang w:eastAsia="en-US"/>
              </w:rPr>
            </w:pPr>
            <w:r w:rsidRPr="00DC55DC">
              <w:rPr>
                <w:rFonts w:eastAsiaTheme="minorHAnsi" w:cs="Times New Roman"/>
                <w:sz w:val="20"/>
                <w:lang w:eastAsia="en-US"/>
              </w:rPr>
              <w:t>IMD</w:t>
            </w:r>
            <w:r>
              <w:rPr>
                <w:rFonts w:eastAsiaTheme="minorHAnsi" w:cs="Times New Roman"/>
                <w:sz w:val="20"/>
                <w:lang w:eastAsia="en-US"/>
              </w:rPr>
              <w:t xml:space="preserve"> (continuous between 0 and 100)</w:t>
            </w:r>
          </w:p>
        </w:tc>
        <w:tc>
          <w:tcPr>
            <w:tcW w:w="1116" w:type="dxa"/>
            <w:vAlign w:val="bottom"/>
          </w:tcPr>
          <w:p w14:paraId="3914B779" w14:textId="0EB6B4AA" w:rsidR="00CF00DD" w:rsidRPr="00DC55DC" w:rsidRDefault="00CF00DD" w:rsidP="00CF00DD">
            <w:pPr>
              <w:rPr>
                <w:sz w:val="20"/>
                <w:szCs w:val="20"/>
              </w:rPr>
            </w:pPr>
            <w:r>
              <w:rPr>
                <w:rFonts w:ascii="Calibri" w:hAnsi="Calibri"/>
                <w:color w:val="000000"/>
                <w:sz w:val="22"/>
              </w:rPr>
              <w:t>0.0026</w:t>
            </w:r>
          </w:p>
        </w:tc>
        <w:tc>
          <w:tcPr>
            <w:tcW w:w="1176" w:type="dxa"/>
            <w:vAlign w:val="bottom"/>
          </w:tcPr>
          <w:p w14:paraId="6ACF7D9D" w14:textId="5DBD4AB1" w:rsidR="00CF00DD" w:rsidRPr="00DC55DC" w:rsidRDefault="00CF00DD" w:rsidP="00CF00DD">
            <w:pPr>
              <w:rPr>
                <w:sz w:val="20"/>
                <w:szCs w:val="20"/>
              </w:rPr>
            </w:pPr>
            <w:r>
              <w:rPr>
                <w:rFonts w:ascii="Calibri" w:hAnsi="Calibri"/>
                <w:color w:val="000000"/>
                <w:sz w:val="22"/>
              </w:rPr>
              <w:t>0.0006</w:t>
            </w:r>
          </w:p>
        </w:tc>
        <w:tc>
          <w:tcPr>
            <w:tcW w:w="1701" w:type="dxa"/>
            <w:vAlign w:val="bottom"/>
          </w:tcPr>
          <w:p w14:paraId="2EA9132C" w14:textId="6CD2B311" w:rsidR="00CF00DD" w:rsidRPr="00DC55DC" w:rsidRDefault="00CF00DD" w:rsidP="00CF00DD">
            <w:pPr>
              <w:rPr>
                <w:sz w:val="20"/>
                <w:szCs w:val="20"/>
              </w:rPr>
            </w:pPr>
            <w:r>
              <w:rPr>
                <w:rFonts w:ascii="Calibri" w:hAnsi="Calibri"/>
                <w:color w:val="000000"/>
                <w:sz w:val="22"/>
              </w:rPr>
              <w:t>1.0026</w:t>
            </w:r>
          </w:p>
        </w:tc>
      </w:tr>
      <w:tr w:rsidR="00CF00DD" w14:paraId="121F7EA4" w14:textId="77777777" w:rsidTr="00CF00DD">
        <w:trPr>
          <w:trHeight w:hRule="exact" w:val="340"/>
        </w:trPr>
        <w:tc>
          <w:tcPr>
            <w:tcW w:w="3940" w:type="dxa"/>
          </w:tcPr>
          <w:p w14:paraId="2969BA1E" w14:textId="4C181FB9" w:rsidR="00CF00DD" w:rsidRDefault="00CF00DD" w:rsidP="00CF00DD">
            <w:pPr>
              <w:spacing w:line="360" w:lineRule="auto"/>
              <w:jc w:val="both"/>
              <w:rPr>
                <w:rFonts w:eastAsiaTheme="minorHAnsi" w:cs="Times New Roman"/>
                <w:sz w:val="20"/>
                <w:lang w:eastAsia="en-US"/>
              </w:rPr>
            </w:pPr>
            <w:r>
              <w:rPr>
                <w:rFonts w:eastAsiaTheme="minorHAnsi" w:cs="Times New Roman"/>
                <w:sz w:val="20"/>
                <w:lang w:eastAsia="en-US"/>
              </w:rPr>
              <w:t>Distance from home to the hospital</w:t>
            </w:r>
          </w:p>
        </w:tc>
        <w:tc>
          <w:tcPr>
            <w:tcW w:w="1116" w:type="dxa"/>
            <w:vAlign w:val="bottom"/>
          </w:tcPr>
          <w:p w14:paraId="5815D010" w14:textId="64817B77" w:rsidR="00CF00DD" w:rsidRPr="00DC55DC" w:rsidRDefault="00CF00DD" w:rsidP="00CF00DD">
            <w:pPr>
              <w:rPr>
                <w:sz w:val="20"/>
                <w:szCs w:val="20"/>
              </w:rPr>
            </w:pPr>
            <w:r>
              <w:rPr>
                <w:rFonts w:ascii="Calibri" w:hAnsi="Calibri"/>
                <w:color w:val="000000"/>
                <w:sz w:val="22"/>
              </w:rPr>
              <w:t>0.0018</w:t>
            </w:r>
          </w:p>
        </w:tc>
        <w:tc>
          <w:tcPr>
            <w:tcW w:w="1176" w:type="dxa"/>
            <w:vAlign w:val="bottom"/>
          </w:tcPr>
          <w:p w14:paraId="57DBD45F" w14:textId="4DDAB9D8" w:rsidR="00CF00DD" w:rsidRPr="00DC55DC" w:rsidRDefault="00CF00DD" w:rsidP="00CF00DD">
            <w:pPr>
              <w:rPr>
                <w:sz w:val="20"/>
                <w:szCs w:val="20"/>
              </w:rPr>
            </w:pPr>
            <w:r>
              <w:rPr>
                <w:rFonts w:ascii="Calibri" w:hAnsi="Calibri"/>
                <w:color w:val="000000"/>
                <w:sz w:val="22"/>
              </w:rPr>
              <w:t>0.0007</w:t>
            </w:r>
          </w:p>
        </w:tc>
        <w:tc>
          <w:tcPr>
            <w:tcW w:w="1701" w:type="dxa"/>
            <w:vAlign w:val="bottom"/>
          </w:tcPr>
          <w:p w14:paraId="6DA5F11B" w14:textId="46E312D1" w:rsidR="00CF00DD" w:rsidRPr="00DC55DC" w:rsidRDefault="00CF00DD" w:rsidP="00CF00DD">
            <w:pPr>
              <w:rPr>
                <w:sz w:val="20"/>
                <w:szCs w:val="20"/>
              </w:rPr>
            </w:pPr>
            <w:r>
              <w:rPr>
                <w:rFonts w:ascii="Calibri" w:hAnsi="Calibri"/>
                <w:color w:val="000000"/>
                <w:sz w:val="22"/>
              </w:rPr>
              <w:t>1.0018</w:t>
            </w:r>
          </w:p>
        </w:tc>
      </w:tr>
      <w:tr w:rsidR="00CF00DD" w14:paraId="68C46BCC" w14:textId="77777777" w:rsidTr="00CF00DD">
        <w:trPr>
          <w:trHeight w:hRule="exact" w:val="340"/>
        </w:trPr>
        <w:tc>
          <w:tcPr>
            <w:tcW w:w="3940" w:type="dxa"/>
          </w:tcPr>
          <w:p w14:paraId="22963F96" w14:textId="77777777" w:rsidR="00CF00DD" w:rsidRPr="00DC55DC" w:rsidRDefault="00CF00DD" w:rsidP="00CF00DD">
            <w:pPr>
              <w:spacing w:line="360" w:lineRule="auto"/>
              <w:jc w:val="both"/>
              <w:rPr>
                <w:rFonts w:eastAsiaTheme="minorHAnsi" w:cs="Times New Roman"/>
                <w:sz w:val="20"/>
                <w:lang w:eastAsia="en-US"/>
              </w:rPr>
            </w:pPr>
            <w:r>
              <w:rPr>
                <w:rFonts w:eastAsiaTheme="minorHAnsi" w:cs="Times New Roman"/>
                <w:sz w:val="20"/>
                <w:lang w:eastAsia="en-US"/>
              </w:rPr>
              <w:t>Living in Urban Area</w:t>
            </w:r>
          </w:p>
        </w:tc>
        <w:tc>
          <w:tcPr>
            <w:tcW w:w="1116" w:type="dxa"/>
            <w:vAlign w:val="bottom"/>
          </w:tcPr>
          <w:p w14:paraId="79121EE7" w14:textId="52124DC9" w:rsidR="00CF00DD" w:rsidRPr="00DC55DC" w:rsidRDefault="00CF00DD" w:rsidP="00CF00DD">
            <w:pPr>
              <w:rPr>
                <w:sz w:val="20"/>
                <w:szCs w:val="20"/>
              </w:rPr>
            </w:pPr>
            <w:r>
              <w:rPr>
                <w:rFonts w:ascii="Calibri" w:hAnsi="Calibri"/>
                <w:color w:val="000000"/>
                <w:sz w:val="22"/>
              </w:rPr>
              <w:t>0.0733</w:t>
            </w:r>
          </w:p>
        </w:tc>
        <w:tc>
          <w:tcPr>
            <w:tcW w:w="1176" w:type="dxa"/>
            <w:vAlign w:val="bottom"/>
          </w:tcPr>
          <w:p w14:paraId="473873B6" w14:textId="428C02AD" w:rsidR="00CF00DD" w:rsidRPr="00DC55DC" w:rsidRDefault="00CF00DD" w:rsidP="00CF00DD">
            <w:pPr>
              <w:rPr>
                <w:sz w:val="20"/>
                <w:szCs w:val="20"/>
              </w:rPr>
            </w:pPr>
            <w:r>
              <w:rPr>
                <w:rFonts w:ascii="Calibri" w:hAnsi="Calibri"/>
                <w:color w:val="000000"/>
                <w:sz w:val="22"/>
              </w:rPr>
              <w:t>0.0197</w:t>
            </w:r>
          </w:p>
        </w:tc>
        <w:tc>
          <w:tcPr>
            <w:tcW w:w="1701" w:type="dxa"/>
            <w:vAlign w:val="bottom"/>
          </w:tcPr>
          <w:p w14:paraId="52A39628" w14:textId="424D9BD5" w:rsidR="00CF00DD" w:rsidRPr="00DC55DC" w:rsidRDefault="00CF00DD" w:rsidP="00CF00DD">
            <w:pPr>
              <w:rPr>
                <w:sz w:val="20"/>
                <w:szCs w:val="20"/>
              </w:rPr>
            </w:pPr>
            <w:r>
              <w:rPr>
                <w:rFonts w:ascii="Calibri" w:hAnsi="Calibri"/>
                <w:color w:val="000000"/>
                <w:sz w:val="22"/>
              </w:rPr>
              <w:t>1.0760</w:t>
            </w:r>
          </w:p>
        </w:tc>
      </w:tr>
      <w:tr w:rsidR="00CF00DD" w14:paraId="01B653B4" w14:textId="77777777" w:rsidTr="00CF00DD">
        <w:trPr>
          <w:trHeight w:hRule="exact" w:val="340"/>
        </w:trPr>
        <w:tc>
          <w:tcPr>
            <w:tcW w:w="3940" w:type="dxa"/>
          </w:tcPr>
          <w:p w14:paraId="52686732" w14:textId="7A49FF94" w:rsidR="00CF00DD" w:rsidRPr="00DC55DC" w:rsidRDefault="00CF00DD" w:rsidP="00CF00DD">
            <w:pPr>
              <w:spacing w:line="360" w:lineRule="auto"/>
              <w:jc w:val="both"/>
              <w:rPr>
                <w:rFonts w:eastAsiaTheme="minorHAnsi" w:cs="Times New Roman"/>
                <w:sz w:val="20"/>
                <w:lang w:eastAsia="en-US"/>
              </w:rPr>
            </w:pPr>
            <w:r w:rsidRPr="00DC55DC">
              <w:rPr>
                <w:rFonts w:eastAsiaTheme="minorHAnsi" w:cs="Times New Roman"/>
                <w:sz w:val="20"/>
                <w:lang w:eastAsia="en-US"/>
              </w:rPr>
              <w:t>MFF</w:t>
            </w:r>
            <w:r>
              <w:rPr>
                <w:rFonts w:eastAsiaTheme="minorHAnsi" w:cs="Times New Roman"/>
                <w:sz w:val="20"/>
                <w:lang w:eastAsia="en-US"/>
              </w:rPr>
              <w:t xml:space="preserve"> index of the hospital</w:t>
            </w:r>
          </w:p>
        </w:tc>
        <w:tc>
          <w:tcPr>
            <w:tcW w:w="1116" w:type="dxa"/>
            <w:vAlign w:val="bottom"/>
          </w:tcPr>
          <w:p w14:paraId="0A4BCD32" w14:textId="5798141F" w:rsidR="00CF00DD" w:rsidRPr="00DC55DC" w:rsidRDefault="00CF00DD" w:rsidP="00CF00DD">
            <w:pPr>
              <w:rPr>
                <w:sz w:val="20"/>
                <w:szCs w:val="20"/>
              </w:rPr>
            </w:pPr>
            <w:r>
              <w:rPr>
                <w:rFonts w:ascii="Calibri" w:hAnsi="Calibri"/>
                <w:color w:val="000000"/>
                <w:sz w:val="22"/>
              </w:rPr>
              <w:t>2.1551</w:t>
            </w:r>
          </w:p>
        </w:tc>
        <w:tc>
          <w:tcPr>
            <w:tcW w:w="1176" w:type="dxa"/>
            <w:vAlign w:val="bottom"/>
          </w:tcPr>
          <w:p w14:paraId="190BBD73" w14:textId="054BAD46" w:rsidR="00CF00DD" w:rsidRPr="00DC55DC" w:rsidRDefault="00CF00DD" w:rsidP="00CF00DD">
            <w:pPr>
              <w:rPr>
                <w:sz w:val="20"/>
                <w:szCs w:val="20"/>
              </w:rPr>
            </w:pPr>
            <w:r>
              <w:rPr>
                <w:rFonts w:ascii="Calibri" w:hAnsi="Calibri"/>
                <w:color w:val="000000"/>
                <w:sz w:val="22"/>
              </w:rPr>
              <w:t>0.1469</w:t>
            </w:r>
          </w:p>
        </w:tc>
        <w:tc>
          <w:tcPr>
            <w:tcW w:w="1701" w:type="dxa"/>
            <w:vAlign w:val="bottom"/>
          </w:tcPr>
          <w:p w14:paraId="405E6E32" w14:textId="2072C8D1" w:rsidR="00CF00DD" w:rsidRPr="00DC55DC" w:rsidRDefault="00CF00DD" w:rsidP="00CF00DD">
            <w:pPr>
              <w:rPr>
                <w:sz w:val="20"/>
                <w:szCs w:val="20"/>
              </w:rPr>
            </w:pPr>
            <w:r>
              <w:rPr>
                <w:rFonts w:ascii="Calibri" w:hAnsi="Calibri"/>
                <w:color w:val="000000"/>
                <w:sz w:val="22"/>
              </w:rPr>
              <w:t>8.6285</w:t>
            </w:r>
          </w:p>
        </w:tc>
      </w:tr>
      <w:tr w:rsidR="00CF00DD" w14:paraId="4733B055" w14:textId="77777777" w:rsidTr="00CF00DD">
        <w:trPr>
          <w:trHeight w:hRule="exact" w:val="340"/>
        </w:trPr>
        <w:tc>
          <w:tcPr>
            <w:tcW w:w="3940" w:type="dxa"/>
          </w:tcPr>
          <w:p w14:paraId="4AB5C435" w14:textId="77777777" w:rsidR="00CF00DD" w:rsidRPr="00DC55DC" w:rsidRDefault="00CF00DD" w:rsidP="00CF00DD">
            <w:pPr>
              <w:spacing w:line="360" w:lineRule="auto"/>
              <w:jc w:val="both"/>
              <w:rPr>
                <w:rFonts w:eastAsiaTheme="minorHAnsi" w:cs="Times New Roman"/>
                <w:sz w:val="20"/>
                <w:lang w:eastAsia="en-US"/>
              </w:rPr>
            </w:pPr>
            <w:r>
              <w:rPr>
                <w:rFonts w:eastAsiaTheme="minorHAnsi" w:cs="Times New Roman"/>
                <w:sz w:val="20"/>
                <w:lang w:eastAsia="en-US"/>
              </w:rPr>
              <w:t xml:space="preserve">Having </w:t>
            </w:r>
            <w:r w:rsidRPr="00DC55DC">
              <w:rPr>
                <w:rFonts w:eastAsiaTheme="minorHAnsi" w:cs="Times New Roman"/>
                <w:sz w:val="20"/>
                <w:lang w:eastAsia="en-US"/>
              </w:rPr>
              <w:t>COPD</w:t>
            </w:r>
          </w:p>
        </w:tc>
        <w:tc>
          <w:tcPr>
            <w:tcW w:w="1116" w:type="dxa"/>
            <w:vAlign w:val="bottom"/>
          </w:tcPr>
          <w:p w14:paraId="3A34F85A" w14:textId="7C2AFCFB" w:rsidR="00CF00DD" w:rsidRPr="00DC55DC" w:rsidRDefault="00CF00DD" w:rsidP="00CF00DD">
            <w:pPr>
              <w:rPr>
                <w:sz w:val="20"/>
                <w:szCs w:val="20"/>
              </w:rPr>
            </w:pPr>
            <w:r>
              <w:rPr>
                <w:rFonts w:ascii="Calibri" w:hAnsi="Calibri"/>
                <w:color w:val="000000"/>
                <w:sz w:val="22"/>
              </w:rPr>
              <w:t>0.0581</w:t>
            </w:r>
          </w:p>
        </w:tc>
        <w:tc>
          <w:tcPr>
            <w:tcW w:w="1176" w:type="dxa"/>
            <w:vAlign w:val="bottom"/>
          </w:tcPr>
          <w:p w14:paraId="1D287009" w14:textId="3B458768" w:rsidR="00CF00DD" w:rsidRPr="00DC55DC" w:rsidRDefault="00CF00DD" w:rsidP="00CF00DD">
            <w:pPr>
              <w:rPr>
                <w:sz w:val="20"/>
                <w:szCs w:val="20"/>
              </w:rPr>
            </w:pPr>
            <w:r>
              <w:rPr>
                <w:rFonts w:ascii="Calibri" w:hAnsi="Calibri"/>
                <w:color w:val="000000"/>
                <w:sz w:val="22"/>
              </w:rPr>
              <w:t>0.0204</w:t>
            </w:r>
          </w:p>
        </w:tc>
        <w:tc>
          <w:tcPr>
            <w:tcW w:w="1701" w:type="dxa"/>
            <w:vAlign w:val="bottom"/>
          </w:tcPr>
          <w:p w14:paraId="56E5C141" w14:textId="76A70BA9" w:rsidR="00CF00DD" w:rsidRPr="00DC55DC" w:rsidRDefault="00CF00DD" w:rsidP="00CF00DD">
            <w:pPr>
              <w:rPr>
                <w:sz w:val="20"/>
                <w:szCs w:val="20"/>
              </w:rPr>
            </w:pPr>
            <w:r>
              <w:rPr>
                <w:rFonts w:ascii="Calibri" w:hAnsi="Calibri"/>
                <w:color w:val="000000"/>
                <w:sz w:val="22"/>
              </w:rPr>
              <w:t>1.0598</w:t>
            </w:r>
          </w:p>
        </w:tc>
      </w:tr>
      <w:tr w:rsidR="00CF00DD" w14:paraId="614C9F14" w14:textId="77777777" w:rsidTr="00CF00DD">
        <w:trPr>
          <w:trHeight w:hRule="exact" w:val="340"/>
        </w:trPr>
        <w:tc>
          <w:tcPr>
            <w:tcW w:w="3940" w:type="dxa"/>
          </w:tcPr>
          <w:p w14:paraId="25007EED" w14:textId="4BCB8DAB" w:rsidR="00CF00DD" w:rsidRPr="00DC55DC" w:rsidRDefault="00CF00DD" w:rsidP="00CF00DD">
            <w:pPr>
              <w:spacing w:line="360" w:lineRule="auto"/>
              <w:jc w:val="both"/>
              <w:rPr>
                <w:rFonts w:eastAsiaTheme="minorHAnsi" w:cs="Times New Roman"/>
                <w:sz w:val="20"/>
                <w:lang w:eastAsia="en-US"/>
              </w:rPr>
            </w:pPr>
            <w:r>
              <w:rPr>
                <w:rFonts w:eastAsiaTheme="minorHAnsi" w:cs="Times New Roman"/>
                <w:sz w:val="20"/>
                <w:lang w:eastAsia="en-US"/>
              </w:rPr>
              <w:t xml:space="preserve">Having Mild </w:t>
            </w:r>
            <w:r w:rsidRPr="00DC55DC">
              <w:rPr>
                <w:rFonts w:eastAsiaTheme="minorHAnsi" w:cs="Times New Roman"/>
                <w:sz w:val="20"/>
                <w:lang w:eastAsia="en-US"/>
              </w:rPr>
              <w:t>Liver Disease</w:t>
            </w:r>
          </w:p>
        </w:tc>
        <w:tc>
          <w:tcPr>
            <w:tcW w:w="1116" w:type="dxa"/>
            <w:vAlign w:val="bottom"/>
          </w:tcPr>
          <w:p w14:paraId="1F121FF8" w14:textId="457F8890" w:rsidR="00CF00DD" w:rsidRPr="00DC55DC" w:rsidRDefault="00CF00DD" w:rsidP="00CF00DD">
            <w:pPr>
              <w:rPr>
                <w:sz w:val="20"/>
                <w:szCs w:val="20"/>
              </w:rPr>
            </w:pPr>
            <w:r>
              <w:rPr>
                <w:rFonts w:ascii="Calibri" w:hAnsi="Calibri"/>
                <w:color w:val="000000"/>
                <w:sz w:val="22"/>
              </w:rPr>
              <w:t>0.1553</w:t>
            </w:r>
          </w:p>
        </w:tc>
        <w:tc>
          <w:tcPr>
            <w:tcW w:w="1176" w:type="dxa"/>
            <w:vAlign w:val="bottom"/>
          </w:tcPr>
          <w:p w14:paraId="156126B7" w14:textId="415BBFE5" w:rsidR="00CF00DD" w:rsidRPr="00DC55DC" w:rsidRDefault="00CF00DD" w:rsidP="00CF00DD">
            <w:pPr>
              <w:rPr>
                <w:sz w:val="20"/>
                <w:szCs w:val="20"/>
              </w:rPr>
            </w:pPr>
            <w:r>
              <w:rPr>
                <w:rFonts w:ascii="Calibri" w:hAnsi="Calibri"/>
                <w:color w:val="000000"/>
                <w:sz w:val="22"/>
              </w:rPr>
              <w:t>0.0717</w:t>
            </w:r>
          </w:p>
        </w:tc>
        <w:tc>
          <w:tcPr>
            <w:tcW w:w="1701" w:type="dxa"/>
            <w:vAlign w:val="bottom"/>
          </w:tcPr>
          <w:p w14:paraId="4D9ED48A" w14:textId="565B6F59" w:rsidR="00CF00DD" w:rsidRPr="00DC55DC" w:rsidRDefault="00CF00DD" w:rsidP="00CF00DD">
            <w:pPr>
              <w:rPr>
                <w:sz w:val="20"/>
                <w:szCs w:val="20"/>
              </w:rPr>
            </w:pPr>
            <w:r>
              <w:rPr>
                <w:rFonts w:ascii="Calibri" w:hAnsi="Calibri"/>
                <w:color w:val="000000"/>
                <w:sz w:val="22"/>
              </w:rPr>
              <w:t>1.1681</w:t>
            </w:r>
          </w:p>
        </w:tc>
      </w:tr>
      <w:tr w:rsidR="00CF00DD" w14:paraId="128B41F8" w14:textId="77777777" w:rsidTr="00CF00DD">
        <w:trPr>
          <w:trHeight w:hRule="exact" w:val="340"/>
        </w:trPr>
        <w:tc>
          <w:tcPr>
            <w:tcW w:w="3940" w:type="dxa"/>
          </w:tcPr>
          <w:p w14:paraId="3EEBD522" w14:textId="76DEF1A4" w:rsidR="00CF00DD" w:rsidRDefault="00CF00DD" w:rsidP="00CF00DD">
            <w:pPr>
              <w:spacing w:line="360" w:lineRule="auto"/>
              <w:jc w:val="both"/>
              <w:rPr>
                <w:rFonts w:eastAsiaTheme="minorHAnsi" w:cs="Times New Roman"/>
                <w:sz w:val="20"/>
                <w:lang w:eastAsia="en-US"/>
              </w:rPr>
            </w:pPr>
            <w:r>
              <w:rPr>
                <w:rFonts w:eastAsiaTheme="minorHAnsi" w:cs="Times New Roman"/>
                <w:sz w:val="20"/>
                <w:lang w:eastAsia="en-US"/>
              </w:rPr>
              <w:t>Having Renal Disease</w:t>
            </w:r>
          </w:p>
        </w:tc>
        <w:tc>
          <w:tcPr>
            <w:tcW w:w="1116" w:type="dxa"/>
            <w:vAlign w:val="bottom"/>
          </w:tcPr>
          <w:p w14:paraId="785C530A" w14:textId="09709CA7" w:rsidR="00CF00DD" w:rsidRPr="00DC55DC" w:rsidRDefault="00CF00DD" w:rsidP="00CF00DD">
            <w:pPr>
              <w:rPr>
                <w:sz w:val="20"/>
                <w:szCs w:val="20"/>
              </w:rPr>
            </w:pPr>
            <w:r>
              <w:rPr>
                <w:rFonts w:ascii="Calibri" w:hAnsi="Calibri"/>
                <w:color w:val="000000"/>
                <w:sz w:val="22"/>
              </w:rPr>
              <w:t>0.1300</w:t>
            </w:r>
          </w:p>
        </w:tc>
        <w:tc>
          <w:tcPr>
            <w:tcW w:w="1176" w:type="dxa"/>
            <w:vAlign w:val="bottom"/>
          </w:tcPr>
          <w:p w14:paraId="08EA90BC" w14:textId="004FFE42" w:rsidR="00CF00DD" w:rsidRPr="00DC55DC" w:rsidRDefault="00CF00DD" w:rsidP="00CF00DD">
            <w:pPr>
              <w:rPr>
                <w:sz w:val="20"/>
                <w:szCs w:val="20"/>
              </w:rPr>
            </w:pPr>
            <w:r>
              <w:rPr>
                <w:rFonts w:ascii="Calibri" w:hAnsi="Calibri"/>
                <w:color w:val="000000"/>
                <w:sz w:val="22"/>
              </w:rPr>
              <w:t>0.0442</w:t>
            </w:r>
          </w:p>
        </w:tc>
        <w:tc>
          <w:tcPr>
            <w:tcW w:w="1701" w:type="dxa"/>
            <w:vAlign w:val="bottom"/>
          </w:tcPr>
          <w:p w14:paraId="27C38327" w14:textId="7AC6BA54" w:rsidR="00CF00DD" w:rsidRPr="00DC55DC" w:rsidRDefault="00CF00DD" w:rsidP="00CF00DD">
            <w:pPr>
              <w:rPr>
                <w:sz w:val="20"/>
                <w:szCs w:val="20"/>
              </w:rPr>
            </w:pPr>
            <w:r>
              <w:rPr>
                <w:rFonts w:ascii="Calibri" w:hAnsi="Calibri"/>
                <w:color w:val="000000"/>
                <w:sz w:val="22"/>
              </w:rPr>
              <w:t>1.1388</w:t>
            </w:r>
          </w:p>
        </w:tc>
      </w:tr>
      <w:tr w:rsidR="00CF00DD" w:rsidRPr="00434574" w14:paraId="1C0F6AF3" w14:textId="77777777" w:rsidTr="00CF00DD">
        <w:trPr>
          <w:trHeight w:hRule="exact" w:val="340"/>
        </w:trPr>
        <w:tc>
          <w:tcPr>
            <w:tcW w:w="3940" w:type="dxa"/>
          </w:tcPr>
          <w:p w14:paraId="537FA026" w14:textId="08F1CE6C" w:rsidR="00CF00DD" w:rsidRPr="00434574" w:rsidRDefault="00CF00DD" w:rsidP="00CF00DD">
            <w:pPr>
              <w:spacing w:line="360" w:lineRule="auto"/>
              <w:jc w:val="both"/>
              <w:rPr>
                <w:rFonts w:eastAsiaTheme="minorHAnsi" w:cs="Times New Roman"/>
                <w:color w:val="FF0000"/>
                <w:sz w:val="20"/>
                <w:lang w:eastAsia="en-US"/>
              </w:rPr>
            </w:pPr>
            <w:r>
              <w:rPr>
                <w:rFonts w:eastAsiaTheme="minorHAnsi" w:cs="Times New Roman"/>
                <w:color w:val="FF0000"/>
                <w:sz w:val="20"/>
                <w:lang w:eastAsia="en-US"/>
              </w:rPr>
              <w:t xml:space="preserve">Annual </w:t>
            </w:r>
            <w:r w:rsidRPr="00434574">
              <w:rPr>
                <w:rFonts w:eastAsiaTheme="minorHAnsi" w:cs="Times New Roman"/>
                <w:color w:val="FF0000"/>
                <w:sz w:val="20"/>
                <w:lang w:eastAsia="en-US"/>
              </w:rPr>
              <w:t>Volume of the hospital</w:t>
            </w:r>
          </w:p>
        </w:tc>
        <w:tc>
          <w:tcPr>
            <w:tcW w:w="1116" w:type="dxa"/>
            <w:vAlign w:val="bottom"/>
          </w:tcPr>
          <w:p w14:paraId="622FC27F" w14:textId="1B6AC451" w:rsidR="00CF00DD" w:rsidRPr="00434574" w:rsidRDefault="00CF00DD" w:rsidP="00CF00DD">
            <w:pPr>
              <w:rPr>
                <w:color w:val="FF0000"/>
                <w:sz w:val="20"/>
                <w:szCs w:val="20"/>
              </w:rPr>
            </w:pPr>
            <w:r>
              <w:rPr>
                <w:rFonts w:ascii="Calibri" w:hAnsi="Calibri"/>
                <w:color w:val="000000"/>
                <w:sz w:val="22"/>
              </w:rPr>
              <w:t>0.0002</w:t>
            </w:r>
          </w:p>
        </w:tc>
        <w:tc>
          <w:tcPr>
            <w:tcW w:w="1176" w:type="dxa"/>
            <w:vAlign w:val="bottom"/>
          </w:tcPr>
          <w:p w14:paraId="5D45632B" w14:textId="3BEA3254" w:rsidR="00CF00DD" w:rsidRPr="00434574" w:rsidRDefault="00CF00DD" w:rsidP="00CF00DD">
            <w:pPr>
              <w:rPr>
                <w:color w:val="FF0000"/>
                <w:sz w:val="20"/>
                <w:szCs w:val="20"/>
              </w:rPr>
            </w:pPr>
            <w:r>
              <w:rPr>
                <w:rFonts w:ascii="Calibri" w:hAnsi="Calibri"/>
                <w:color w:val="000000"/>
                <w:sz w:val="22"/>
              </w:rPr>
              <w:t>0.0002</w:t>
            </w:r>
          </w:p>
        </w:tc>
        <w:tc>
          <w:tcPr>
            <w:tcW w:w="1701" w:type="dxa"/>
            <w:vAlign w:val="bottom"/>
          </w:tcPr>
          <w:p w14:paraId="221F0BAB" w14:textId="1FBF12E0" w:rsidR="00CF00DD" w:rsidRPr="00434574" w:rsidRDefault="00CF00DD" w:rsidP="00CF00DD">
            <w:pPr>
              <w:rPr>
                <w:color w:val="FF0000"/>
                <w:sz w:val="20"/>
                <w:szCs w:val="20"/>
              </w:rPr>
            </w:pPr>
            <w:r>
              <w:rPr>
                <w:rFonts w:ascii="Calibri" w:hAnsi="Calibri"/>
                <w:color w:val="000000"/>
                <w:sz w:val="22"/>
              </w:rPr>
              <w:t>1.0002</w:t>
            </w:r>
          </w:p>
        </w:tc>
      </w:tr>
      <w:tr w:rsidR="00767F11" w14:paraId="1F6DEA53" w14:textId="77777777" w:rsidTr="00CF00DD">
        <w:tc>
          <w:tcPr>
            <w:tcW w:w="3940" w:type="dxa"/>
            <w:vMerge w:val="restart"/>
            <w:vAlign w:val="center"/>
          </w:tcPr>
          <w:p w14:paraId="6A0C5D98" w14:textId="164686D5" w:rsidR="00767F11" w:rsidRDefault="00767F11" w:rsidP="00434574">
            <w:pPr>
              <w:spacing w:line="360" w:lineRule="auto"/>
              <w:jc w:val="center"/>
              <w:rPr>
                <w:rFonts w:eastAsiaTheme="minorHAnsi" w:cs="Times New Roman"/>
                <w:b/>
                <w:lang w:eastAsia="en-US"/>
              </w:rPr>
            </w:pPr>
            <w:r>
              <w:rPr>
                <w:rFonts w:eastAsiaTheme="minorHAnsi" w:cs="Times New Roman"/>
                <w:lang w:eastAsia="en-US"/>
              </w:rPr>
              <w:lastRenderedPageBreak/>
              <w:t xml:space="preserve">  </w:t>
            </w:r>
            <w:r>
              <w:rPr>
                <w:rFonts w:eastAsiaTheme="minorHAnsi" w:cs="Times New Roman"/>
                <w:b/>
                <w:lang w:eastAsia="en-US"/>
              </w:rPr>
              <w:t>Model 4: Elective EVAR</w:t>
            </w:r>
          </w:p>
          <w:p w14:paraId="776F92D1" w14:textId="77777777" w:rsidR="00767F11" w:rsidRPr="00DC55DC" w:rsidRDefault="00767F11" w:rsidP="00434574">
            <w:pPr>
              <w:spacing w:line="360" w:lineRule="auto"/>
              <w:jc w:val="center"/>
              <w:rPr>
                <w:rFonts w:eastAsiaTheme="minorHAnsi" w:cs="Times New Roman"/>
                <w:lang w:eastAsia="en-US"/>
              </w:rPr>
            </w:pPr>
            <w:r w:rsidRPr="00DC55DC">
              <w:rPr>
                <w:rFonts w:eastAsiaTheme="minorHAnsi" w:cs="Times New Roman"/>
                <w:sz w:val="18"/>
                <w:lang w:eastAsia="en-US"/>
              </w:rPr>
              <w:t>(GLM with Gamma Distribution and Log Link)</w:t>
            </w:r>
          </w:p>
        </w:tc>
        <w:tc>
          <w:tcPr>
            <w:tcW w:w="3993" w:type="dxa"/>
            <w:gridSpan w:val="3"/>
          </w:tcPr>
          <w:p w14:paraId="0E604CC5" w14:textId="77777777" w:rsidR="00767F11" w:rsidRPr="00DC55DC" w:rsidRDefault="00767F11" w:rsidP="00434574">
            <w:pPr>
              <w:spacing w:line="360" w:lineRule="auto"/>
              <w:jc w:val="both"/>
              <w:rPr>
                <w:rFonts w:eastAsiaTheme="minorHAnsi" w:cs="Times New Roman"/>
                <w:sz w:val="20"/>
                <w:lang w:eastAsia="en-US"/>
              </w:rPr>
            </w:pPr>
            <w:r w:rsidRPr="00DC55DC">
              <w:rPr>
                <w:rFonts w:eastAsiaTheme="minorHAnsi" w:cs="Times New Roman"/>
                <w:sz w:val="20"/>
                <w:lang w:eastAsia="en-US"/>
              </w:rPr>
              <w:t>Predicting total cost of index episode</w:t>
            </w:r>
          </w:p>
        </w:tc>
      </w:tr>
      <w:tr w:rsidR="00767F11" w14:paraId="086A7D9F" w14:textId="77777777" w:rsidTr="00CF00DD">
        <w:tc>
          <w:tcPr>
            <w:tcW w:w="3940" w:type="dxa"/>
            <w:vMerge/>
          </w:tcPr>
          <w:p w14:paraId="56C333F0" w14:textId="77777777" w:rsidR="00767F11" w:rsidRDefault="00767F11" w:rsidP="00434574">
            <w:pPr>
              <w:spacing w:line="360" w:lineRule="auto"/>
              <w:jc w:val="both"/>
              <w:rPr>
                <w:rFonts w:eastAsiaTheme="minorHAnsi" w:cs="Times New Roman"/>
                <w:lang w:eastAsia="en-US"/>
              </w:rPr>
            </w:pPr>
          </w:p>
        </w:tc>
        <w:tc>
          <w:tcPr>
            <w:tcW w:w="1116" w:type="dxa"/>
          </w:tcPr>
          <w:p w14:paraId="19AC6A76" w14:textId="77777777" w:rsidR="00767F11" w:rsidRPr="00DC55DC" w:rsidRDefault="00767F11" w:rsidP="00434574">
            <w:pPr>
              <w:spacing w:line="360" w:lineRule="auto"/>
              <w:jc w:val="both"/>
              <w:rPr>
                <w:rFonts w:eastAsiaTheme="minorHAnsi" w:cs="Times New Roman"/>
                <w:sz w:val="20"/>
                <w:lang w:eastAsia="en-US"/>
              </w:rPr>
            </w:pPr>
            <w:r w:rsidRPr="00DC55DC">
              <w:rPr>
                <w:rFonts w:eastAsiaTheme="minorHAnsi" w:cs="Times New Roman"/>
                <w:sz w:val="20"/>
                <w:lang w:eastAsia="en-US"/>
              </w:rPr>
              <w:t>Coefficient</w:t>
            </w:r>
          </w:p>
        </w:tc>
        <w:tc>
          <w:tcPr>
            <w:tcW w:w="1176" w:type="dxa"/>
          </w:tcPr>
          <w:p w14:paraId="067CF668" w14:textId="5C1961EC" w:rsidR="00767F11" w:rsidRPr="00DC55DC" w:rsidRDefault="00CF00DD" w:rsidP="00434574">
            <w:pPr>
              <w:spacing w:line="360" w:lineRule="auto"/>
              <w:jc w:val="center"/>
              <w:rPr>
                <w:rFonts w:eastAsiaTheme="minorHAnsi" w:cs="Times New Roman"/>
                <w:sz w:val="20"/>
                <w:lang w:eastAsia="en-US"/>
              </w:rPr>
            </w:pPr>
            <w:r>
              <w:rPr>
                <w:rFonts w:eastAsiaTheme="minorHAnsi" w:cs="Times New Roman"/>
                <w:sz w:val="20"/>
                <w:lang w:eastAsia="en-US"/>
              </w:rPr>
              <w:t>SE</w:t>
            </w:r>
          </w:p>
        </w:tc>
        <w:tc>
          <w:tcPr>
            <w:tcW w:w="1701" w:type="dxa"/>
          </w:tcPr>
          <w:p w14:paraId="0305967A" w14:textId="77777777" w:rsidR="00767F11" w:rsidRPr="00DC55DC" w:rsidRDefault="00767F11" w:rsidP="00434574">
            <w:pPr>
              <w:spacing w:line="360" w:lineRule="auto"/>
              <w:jc w:val="both"/>
              <w:rPr>
                <w:rFonts w:eastAsiaTheme="minorHAnsi" w:cs="Times New Roman"/>
                <w:sz w:val="20"/>
                <w:lang w:eastAsia="en-US"/>
              </w:rPr>
            </w:pPr>
            <w:r w:rsidRPr="00DC55DC">
              <w:rPr>
                <w:rFonts w:eastAsiaTheme="minorHAnsi" w:cs="Times New Roman"/>
                <w:sz w:val="20"/>
                <w:lang w:eastAsia="en-US"/>
              </w:rPr>
              <w:t>EXP of coefficient</w:t>
            </w:r>
          </w:p>
        </w:tc>
      </w:tr>
      <w:tr w:rsidR="00CF00DD" w14:paraId="016AD289" w14:textId="77777777" w:rsidTr="00CF00DD">
        <w:trPr>
          <w:trHeight w:hRule="exact" w:val="340"/>
        </w:trPr>
        <w:tc>
          <w:tcPr>
            <w:tcW w:w="3940" w:type="dxa"/>
          </w:tcPr>
          <w:p w14:paraId="7861F22F" w14:textId="77777777" w:rsidR="00CF00DD" w:rsidRPr="00DC55DC" w:rsidRDefault="00CF00DD" w:rsidP="00CF00DD">
            <w:pPr>
              <w:spacing w:line="360" w:lineRule="auto"/>
              <w:jc w:val="both"/>
              <w:rPr>
                <w:rFonts w:eastAsiaTheme="minorHAnsi" w:cs="Times New Roman"/>
                <w:sz w:val="20"/>
                <w:lang w:eastAsia="en-US"/>
              </w:rPr>
            </w:pPr>
            <w:r w:rsidRPr="00DC55DC">
              <w:rPr>
                <w:rFonts w:eastAsiaTheme="minorHAnsi" w:cs="Times New Roman"/>
                <w:sz w:val="20"/>
                <w:lang w:eastAsia="en-US"/>
              </w:rPr>
              <w:t>Intercept</w:t>
            </w:r>
          </w:p>
        </w:tc>
        <w:tc>
          <w:tcPr>
            <w:tcW w:w="1116" w:type="dxa"/>
            <w:vAlign w:val="bottom"/>
          </w:tcPr>
          <w:p w14:paraId="6094F976" w14:textId="25B2156C" w:rsidR="00CF00DD" w:rsidRPr="00DC55DC" w:rsidRDefault="00CF00DD" w:rsidP="00CF00DD">
            <w:pPr>
              <w:rPr>
                <w:sz w:val="20"/>
                <w:szCs w:val="20"/>
              </w:rPr>
            </w:pPr>
            <w:r>
              <w:rPr>
                <w:rFonts w:ascii="Calibri" w:hAnsi="Calibri"/>
                <w:color w:val="000000"/>
                <w:sz w:val="22"/>
              </w:rPr>
              <w:t>6.1897</w:t>
            </w:r>
          </w:p>
        </w:tc>
        <w:tc>
          <w:tcPr>
            <w:tcW w:w="1176" w:type="dxa"/>
            <w:vAlign w:val="bottom"/>
          </w:tcPr>
          <w:p w14:paraId="4E331349" w14:textId="7B912E45" w:rsidR="00CF00DD" w:rsidRPr="00DC55DC" w:rsidRDefault="00CF00DD" w:rsidP="00CF00DD">
            <w:pPr>
              <w:rPr>
                <w:sz w:val="20"/>
                <w:szCs w:val="20"/>
              </w:rPr>
            </w:pPr>
            <w:r>
              <w:rPr>
                <w:rFonts w:ascii="Calibri" w:hAnsi="Calibri"/>
                <w:color w:val="000000"/>
                <w:sz w:val="22"/>
              </w:rPr>
              <w:t>0.0685</w:t>
            </w:r>
          </w:p>
        </w:tc>
        <w:tc>
          <w:tcPr>
            <w:tcW w:w="1701" w:type="dxa"/>
            <w:vAlign w:val="bottom"/>
          </w:tcPr>
          <w:p w14:paraId="436E8180" w14:textId="3C7749BC" w:rsidR="00CF00DD" w:rsidRPr="00DC55DC" w:rsidRDefault="00CF00DD" w:rsidP="00CF00DD">
            <w:pPr>
              <w:rPr>
                <w:sz w:val="20"/>
                <w:szCs w:val="20"/>
              </w:rPr>
            </w:pPr>
            <w:r>
              <w:rPr>
                <w:rFonts w:ascii="Calibri" w:hAnsi="Calibri"/>
                <w:color w:val="000000"/>
                <w:sz w:val="22"/>
              </w:rPr>
              <w:t>487.6916</w:t>
            </w:r>
          </w:p>
        </w:tc>
      </w:tr>
      <w:tr w:rsidR="00CF00DD" w14:paraId="167E5F04" w14:textId="77777777" w:rsidTr="00CF00DD">
        <w:trPr>
          <w:trHeight w:hRule="exact" w:val="340"/>
        </w:trPr>
        <w:tc>
          <w:tcPr>
            <w:tcW w:w="3940" w:type="dxa"/>
          </w:tcPr>
          <w:p w14:paraId="46FECBB3" w14:textId="1A8C8600" w:rsidR="00CF00DD" w:rsidRPr="00DC55DC" w:rsidRDefault="00CF00DD" w:rsidP="00CF00DD">
            <w:pPr>
              <w:spacing w:line="360" w:lineRule="auto"/>
              <w:jc w:val="both"/>
              <w:rPr>
                <w:rFonts w:eastAsiaTheme="minorHAnsi" w:cs="Times New Roman"/>
                <w:sz w:val="20"/>
                <w:lang w:eastAsia="en-US"/>
              </w:rPr>
            </w:pPr>
            <w:r>
              <w:rPr>
                <w:rFonts w:eastAsiaTheme="minorHAnsi" w:cs="Times New Roman"/>
                <w:sz w:val="20"/>
                <w:lang w:eastAsia="en-US"/>
              </w:rPr>
              <w:t>Male Patient</w:t>
            </w:r>
          </w:p>
        </w:tc>
        <w:tc>
          <w:tcPr>
            <w:tcW w:w="1116" w:type="dxa"/>
            <w:vAlign w:val="bottom"/>
          </w:tcPr>
          <w:p w14:paraId="37D95DDB" w14:textId="6CE53F0A" w:rsidR="00CF00DD" w:rsidRPr="00DC55DC" w:rsidRDefault="00CF00DD" w:rsidP="00CF00DD">
            <w:pPr>
              <w:rPr>
                <w:sz w:val="20"/>
                <w:szCs w:val="20"/>
              </w:rPr>
            </w:pPr>
            <w:r>
              <w:rPr>
                <w:rFonts w:ascii="Calibri" w:hAnsi="Calibri"/>
                <w:color w:val="000000"/>
                <w:sz w:val="22"/>
              </w:rPr>
              <w:t>-0.0402</w:t>
            </w:r>
          </w:p>
        </w:tc>
        <w:tc>
          <w:tcPr>
            <w:tcW w:w="1176" w:type="dxa"/>
            <w:vAlign w:val="bottom"/>
          </w:tcPr>
          <w:p w14:paraId="28F26D82" w14:textId="539F0203" w:rsidR="00CF00DD" w:rsidRPr="00DC55DC" w:rsidRDefault="00CF00DD" w:rsidP="00CF00DD">
            <w:pPr>
              <w:rPr>
                <w:sz w:val="20"/>
                <w:szCs w:val="20"/>
              </w:rPr>
            </w:pPr>
            <w:r>
              <w:rPr>
                <w:rFonts w:ascii="Calibri" w:hAnsi="Calibri"/>
                <w:color w:val="000000"/>
                <w:sz w:val="22"/>
              </w:rPr>
              <w:t>0.0141</w:t>
            </w:r>
          </w:p>
        </w:tc>
        <w:tc>
          <w:tcPr>
            <w:tcW w:w="1701" w:type="dxa"/>
            <w:vAlign w:val="bottom"/>
          </w:tcPr>
          <w:p w14:paraId="30ED3105" w14:textId="100EBF0A" w:rsidR="00CF00DD" w:rsidRPr="00DC55DC" w:rsidRDefault="00CF00DD" w:rsidP="00CF00DD">
            <w:pPr>
              <w:rPr>
                <w:sz w:val="20"/>
                <w:szCs w:val="20"/>
              </w:rPr>
            </w:pPr>
            <w:r>
              <w:rPr>
                <w:rFonts w:ascii="Calibri" w:hAnsi="Calibri"/>
                <w:color w:val="000000"/>
                <w:sz w:val="22"/>
              </w:rPr>
              <w:t>0.9606</w:t>
            </w:r>
          </w:p>
        </w:tc>
      </w:tr>
      <w:tr w:rsidR="00CF00DD" w14:paraId="6DADA2D8" w14:textId="77777777" w:rsidTr="00CF00DD">
        <w:trPr>
          <w:trHeight w:hRule="exact" w:val="340"/>
        </w:trPr>
        <w:tc>
          <w:tcPr>
            <w:tcW w:w="3940" w:type="dxa"/>
          </w:tcPr>
          <w:p w14:paraId="02521C00" w14:textId="17744522" w:rsidR="00CF00DD" w:rsidRDefault="00CF00DD" w:rsidP="00CF00DD">
            <w:pPr>
              <w:spacing w:line="360" w:lineRule="auto"/>
              <w:jc w:val="both"/>
              <w:rPr>
                <w:rFonts w:eastAsiaTheme="minorHAnsi" w:cs="Times New Roman"/>
                <w:sz w:val="20"/>
                <w:lang w:eastAsia="en-US"/>
              </w:rPr>
            </w:pPr>
            <w:r>
              <w:rPr>
                <w:rFonts w:eastAsiaTheme="minorHAnsi" w:cs="Times New Roman"/>
                <w:sz w:val="20"/>
                <w:lang w:eastAsia="en-US"/>
              </w:rPr>
              <w:t xml:space="preserve">HES year </w:t>
            </w:r>
          </w:p>
        </w:tc>
        <w:tc>
          <w:tcPr>
            <w:tcW w:w="1116" w:type="dxa"/>
            <w:vAlign w:val="bottom"/>
          </w:tcPr>
          <w:p w14:paraId="2308CE52" w14:textId="77777777" w:rsidR="00CF00DD" w:rsidRDefault="00CF00DD" w:rsidP="00CF00DD">
            <w:pPr>
              <w:rPr>
                <w:rFonts w:ascii="Calibri" w:hAnsi="Calibri"/>
                <w:color w:val="000000"/>
                <w:sz w:val="22"/>
              </w:rPr>
            </w:pPr>
          </w:p>
        </w:tc>
        <w:tc>
          <w:tcPr>
            <w:tcW w:w="1176" w:type="dxa"/>
            <w:vAlign w:val="bottom"/>
          </w:tcPr>
          <w:p w14:paraId="23DFDA9D" w14:textId="77777777" w:rsidR="00CF00DD" w:rsidRDefault="00CF00DD" w:rsidP="00CF00DD">
            <w:pPr>
              <w:rPr>
                <w:rFonts w:ascii="Calibri" w:hAnsi="Calibri"/>
                <w:color w:val="000000"/>
                <w:sz w:val="22"/>
              </w:rPr>
            </w:pPr>
          </w:p>
        </w:tc>
        <w:tc>
          <w:tcPr>
            <w:tcW w:w="1701" w:type="dxa"/>
            <w:vAlign w:val="bottom"/>
          </w:tcPr>
          <w:p w14:paraId="5DD273B4" w14:textId="77777777" w:rsidR="00CF00DD" w:rsidRDefault="00CF00DD" w:rsidP="00CF00DD">
            <w:pPr>
              <w:rPr>
                <w:rFonts w:ascii="Calibri" w:hAnsi="Calibri"/>
                <w:color w:val="000000"/>
                <w:sz w:val="22"/>
              </w:rPr>
            </w:pPr>
          </w:p>
        </w:tc>
      </w:tr>
      <w:tr w:rsidR="00CF00DD" w14:paraId="1B461BCF" w14:textId="77777777" w:rsidTr="00F378DA">
        <w:trPr>
          <w:trHeight w:hRule="exact" w:val="340"/>
        </w:trPr>
        <w:tc>
          <w:tcPr>
            <w:tcW w:w="3940" w:type="dxa"/>
          </w:tcPr>
          <w:p w14:paraId="45AD8960" w14:textId="628CF21B" w:rsidR="00CF00DD" w:rsidRPr="00CF00DD" w:rsidRDefault="00CF00DD" w:rsidP="00CF00DD">
            <w:pPr>
              <w:pStyle w:val="ListParagraph"/>
              <w:numPr>
                <w:ilvl w:val="0"/>
                <w:numId w:val="39"/>
              </w:numPr>
              <w:spacing w:line="360" w:lineRule="auto"/>
              <w:jc w:val="both"/>
              <w:rPr>
                <w:rFonts w:eastAsiaTheme="minorHAnsi" w:cs="Times New Roman"/>
                <w:sz w:val="20"/>
                <w:lang w:eastAsia="en-US"/>
              </w:rPr>
            </w:pPr>
            <w:r w:rsidRPr="00CF00DD">
              <w:rPr>
                <w:rFonts w:eastAsiaTheme="minorHAnsi" w:cs="Times New Roman"/>
                <w:sz w:val="20"/>
                <w:lang w:eastAsia="en-US"/>
              </w:rPr>
              <w:t>200809</w:t>
            </w:r>
          </w:p>
        </w:tc>
        <w:tc>
          <w:tcPr>
            <w:tcW w:w="1116" w:type="dxa"/>
          </w:tcPr>
          <w:p w14:paraId="2D7C0D67" w14:textId="5430DDF5" w:rsidR="00CF00DD" w:rsidRDefault="00CF00DD" w:rsidP="00CF00DD">
            <w:pPr>
              <w:rPr>
                <w:rFonts w:ascii="Calibri" w:hAnsi="Calibri"/>
                <w:color w:val="000000"/>
                <w:sz w:val="22"/>
              </w:rPr>
            </w:pPr>
            <w:r>
              <w:rPr>
                <w:sz w:val="20"/>
                <w:szCs w:val="20"/>
              </w:rPr>
              <w:t>0</w:t>
            </w:r>
          </w:p>
        </w:tc>
        <w:tc>
          <w:tcPr>
            <w:tcW w:w="1176" w:type="dxa"/>
          </w:tcPr>
          <w:p w14:paraId="0B1B06FB" w14:textId="71BFEC46" w:rsidR="00CF00DD" w:rsidRDefault="00CF00DD" w:rsidP="00CF00DD">
            <w:pPr>
              <w:rPr>
                <w:rFonts w:ascii="Calibri" w:hAnsi="Calibri"/>
                <w:color w:val="000000"/>
                <w:sz w:val="22"/>
              </w:rPr>
            </w:pPr>
            <w:r>
              <w:rPr>
                <w:sz w:val="20"/>
                <w:szCs w:val="20"/>
              </w:rPr>
              <w:t>0</w:t>
            </w:r>
          </w:p>
        </w:tc>
        <w:tc>
          <w:tcPr>
            <w:tcW w:w="1701" w:type="dxa"/>
          </w:tcPr>
          <w:p w14:paraId="26E78781" w14:textId="6AD82553" w:rsidR="00CF00DD" w:rsidRDefault="00CF00DD" w:rsidP="00CF00DD">
            <w:pPr>
              <w:rPr>
                <w:rFonts w:ascii="Calibri" w:hAnsi="Calibri"/>
                <w:color w:val="000000"/>
                <w:sz w:val="22"/>
              </w:rPr>
            </w:pPr>
            <w:r>
              <w:rPr>
                <w:sz w:val="20"/>
                <w:szCs w:val="20"/>
              </w:rPr>
              <w:t>1</w:t>
            </w:r>
          </w:p>
        </w:tc>
      </w:tr>
      <w:tr w:rsidR="00CF00DD" w14:paraId="0D64CFE0" w14:textId="77777777" w:rsidTr="00CF00DD">
        <w:trPr>
          <w:trHeight w:hRule="exact" w:val="340"/>
        </w:trPr>
        <w:tc>
          <w:tcPr>
            <w:tcW w:w="3940" w:type="dxa"/>
          </w:tcPr>
          <w:p w14:paraId="09919C1C" w14:textId="77777777" w:rsidR="00CF00DD" w:rsidRPr="00DC55DC" w:rsidRDefault="00CF00DD" w:rsidP="00CF00DD">
            <w:pPr>
              <w:pStyle w:val="ListParagraph"/>
              <w:numPr>
                <w:ilvl w:val="0"/>
                <w:numId w:val="39"/>
              </w:numPr>
              <w:spacing w:line="360" w:lineRule="auto"/>
              <w:jc w:val="both"/>
              <w:rPr>
                <w:rFonts w:eastAsiaTheme="minorHAnsi" w:cs="Times New Roman"/>
                <w:sz w:val="20"/>
                <w:lang w:eastAsia="en-US"/>
              </w:rPr>
            </w:pPr>
            <w:r w:rsidRPr="00DC55DC">
              <w:rPr>
                <w:rFonts w:eastAsiaTheme="minorHAnsi" w:cs="Times New Roman"/>
                <w:sz w:val="20"/>
                <w:lang w:eastAsia="en-US"/>
              </w:rPr>
              <w:t>200910</w:t>
            </w:r>
          </w:p>
        </w:tc>
        <w:tc>
          <w:tcPr>
            <w:tcW w:w="1116" w:type="dxa"/>
            <w:vAlign w:val="bottom"/>
          </w:tcPr>
          <w:p w14:paraId="321E8669" w14:textId="74DBB065" w:rsidR="00CF00DD" w:rsidRPr="00DC55DC" w:rsidRDefault="00CF00DD" w:rsidP="00CF00DD">
            <w:pPr>
              <w:rPr>
                <w:sz w:val="20"/>
                <w:szCs w:val="20"/>
              </w:rPr>
            </w:pPr>
            <w:r>
              <w:rPr>
                <w:rFonts w:ascii="Calibri" w:hAnsi="Calibri"/>
                <w:color w:val="000000"/>
                <w:sz w:val="22"/>
              </w:rPr>
              <w:t>0.0652</w:t>
            </w:r>
          </w:p>
        </w:tc>
        <w:tc>
          <w:tcPr>
            <w:tcW w:w="1176" w:type="dxa"/>
            <w:vAlign w:val="bottom"/>
          </w:tcPr>
          <w:p w14:paraId="58173260" w14:textId="60A4A699" w:rsidR="00CF00DD" w:rsidRPr="00DC55DC" w:rsidRDefault="00CF00DD" w:rsidP="00CF00DD">
            <w:pPr>
              <w:rPr>
                <w:sz w:val="20"/>
                <w:szCs w:val="20"/>
              </w:rPr>
            </w:pPr>
            <w:r>
              <w:rPr>
                <w:rFonts w:ascii="Calibri" w:hAnsi="Calibri"/>
                <w:color w:val="000000"/>
                <w:sz w:val="22"/>
              </w:rPr>
              <w:t>0.0179</w:t>
            </w:r>
          </w:p>
        </w:tc>
        <w:tc>
          <w:tcPr>
            <w:tcW w:w="1701" w:type="dxa"/>
            <w:vAlign w:val="bottom"/>
          </w:tcPr>
          <w:p w14:paraId="17AAC56E" w14:textId="0A4E62C1" w:rsidR="00CF00DD" w:rsidRPr="00DC55DC" w:rsidRDefault="00CF00DD" w:rsidP="00CF00DD">
            <w:pPr>
              <w:rPr>
                <w:sz w:val="20"/>
                <w:szCs w:val="20"/>
              </w:rPr>
            </w:pPr>
            <w:r>
              <w:rPr>
                <w:rFonts w:ascii="Calibri" w:hAnsi="Calibri"/>
                <w:color w:val="000000"/>
                <w:sz w:val="22"/>
              </w:rPr>
              <w:t>1.0673</w:t>
            </w:r>
          </w:p>
        </w:tc>
      </w:tr>
      <w:tr w:rsidR="00CF00DD" w14:paraId="1F33C335" w14:textId="77777777" w:rsidTr="00CF00DD">
        <w:trPr>
          <w:trHeight w:hRule="exact" w:val="340"/>
        </w:trPr>
        <w:tc>
          <w:tcPr>
            <w:tcW w:w="3940" w:type="dxa"/>
          </w:tcPr>
          <w:p w14:paraId="6F877FB7" w14:textId="77777777" w:rsidR="00CF00DD" w:rsidRPr="00DC55DC" w:rsidRDefault="00CF00DD" w:rsidP="00CF00DD">
            <w:pPr>
              <w:pStyle w:val="ListParagraph"/>
              <w:numPr>
                <w:ilvl w:val="0"/>
                <w:numId w:val="39"/>
              </w:numPr>
              <w:spacing w:line="360" w:lineRule="auto"/>
              <w:jc w:val="both"/>
              <w:rPr>
                <w:rFonts w:eastAsiaTheme="minorHAnsi" w:cs="Times New Roman"/>
                <w:sz w:val="20"/>
                <w:lang w:eastAsia="en-US"/>
              </w:rPr>
            </w:pPr>
            <w:r w:rsidRPr="00DC55DC">
              <w:rPr>
                <w:rFonts w:eastAsiaTheme="minorHAnsi" w:cs="Times New Roman"/>
                <w:sz w:val="20"/>
                <w:lang w:eastAsia="en-US"/>
              </w:rPr>
              <w:t>201011</w:t>
            </w:r>
          </w:p>
        </w:tc>
        <w:tc>
          <w:tcPr>
            <w:tcW w:w="1116" w:type="dxa"/>
            <w:vAlign w:val="bottom"/>
          </w:tcPr>
          <w:p w14:paraId="3C3B8A4A" w14:textId="129429BA" w:rsidR="00CF00DD" w:rsidRPr="00DC55DC" w:rsidRDefault="00CF00DD" w:rsidP="00CF00DD">
            <w:pPr>
              <w:rPr>
                <w:sz w:val="20"/>
                <w:szCs w:val="20"/>
              </w:rPr>
            </w:pPr>
            <w:r>
              <w:rPr>
                <w:rFonts w:ascii="Calibri" w:hAnsi="Calibri"/>
                <w:color w:val="000000"/>
                <w:sz w:val="22"/>
              </w:rPr>
              <w:t>0.1478</w:t>
            </w:r>
          </w:p>
        </w:tc>
        <w:tc>
          <w:tcPr>
            <w:tcW w:w="1176" w:type="dxa"/>
            <w:vAlign w:val="bottom"/>
          </w:tcPr>
          <w:p w14:paraId="533507A2" w14:textId="0DA49CA1" w:rsidR="00CF00DD" w:rsidRPr="00DC55DC" w:rsidRDefault="00CF00DD" w:rsidP="00CF00DD">
            <w:pPr>
              <w:rPr>
                <w:sz w:val="20"/>
                <w:szCs w:val="20"/>
              </w:rPr>
            </w:pPr>
            <w:r>
              <w:rPr>
                <w:rFonts w:ascii="Calibri" w:hAnsi="Calibri"/>
                <w:color w:val="000000"/>
                <w:sz w:val="22"/>
              </w:rPr>
              <w:t>0.0176</w:t>
            </w:r>
          </w:p>
        </w:tc>
        <w:tc>
          <w:tcPr>
            <w:tcW w:w="1701" w:type="dxa"/>
            <w:vAlign w:val="bottom"/>
          </w:tcPr>
          <w:p w14:paraId="2DA49D50" w14:textId="3942D8BA" w:rsidR="00CF00DD" w:rsidRPr="00DC55DC" w:rsidRDefault="00CF00DD" w:rsidP="00CF00DD">
            <w:pPr>
              <w:rPr>
                <w:sz w:val="20"/>
                <w:szCs w:val="20"/>
              </w:rPr>
            </w:pPr>
            <w:r>
              <w:rPr>
                <w:rFonts w:ascii="Calibri" w:hAnsi="Calibri"/>
                <w:color w:val="000000"/>
                <w:sz w:val="22"/>
              </w:rPr>
              <w:t>1.1593</w:t>
            </w:r>
          </w:p>
        </w:tc>
      </w:tr>
      <w:tr w:rsidR="00CF00DD" w14:paraId="20C71AA6" w14:textId="77777777" w:rsidTr="00CF00DD">
        <w:trPr>
          <w:trHeight w:hRule="exact" w:val="340"/>
        </w:trPr>
        <w:tc>
          <w:tcPr>
            <w:tcW w:w="3940" w:type="dxa"/>
          </w:tcPr>
          <w:p w14:paraId="1FD48420" w14:textId="77777777" w:rsidR="00CF00DD" w:rsidRPr="00DC55DC" w:rsidRDefault="00CF00DD" w:rsidP="00CF00DD">
            <w:pPr>
              <w:pStyle w:val="ListParagraph"/>
              <w:numPr>
                <w:ilvl w:val="0"/>
                <w:numId w:val="39"/>
              </w:numPr>
              <w:spacing w:line="360" w:lineRule="auto"/>
              <w:jc w:val="both"/>
              <w:rPr>
                <w:rFonts w:eastAsiaTheme="minorHAnsi" w:cs="Times New Roman"/>
                <w:sz w:val="20"/>
                <w:lang w:eastAsia="en-US"/>
              </w:rPr>
            </w:pPr>
            <w:r w:rsidRPr="00DC55DC">
              <w:rPr>
                <w:rFonts w:eastAsiaTheme="minorHAnsi" w:cs="Times New Roman"/>
                <w:sz w:val="20"/>
                <w:lang w:eastAsia="en-US"/>
              </w:rPr>
              <w:t>201112</w:t>
            </w:r>
          </w:p>
        </w:tc>
        <w:tc>
          <w:tcPr>
            <w:tcW w:w="1116" w:type="dxa"/>
            <w:vAlign w:val="bottom"/>
          </w:tcPr>
          <w:p w14:paraId="36DD781F" w14:textId="12FDF97F" w:rsidR="00CF00DD" w:rsidRPr="00DC55DC" w:rsidRDefault="00CF00DD" w:rsidP="00CF00DD">
            <w:pPr>
              <w:rPr>
                <w:sz w:val="20"/>
                <w:szCs w:val="20"/>
              </w:rPr>
            </w:pPr>
            <w:r>
              <w:rPr>
                <w:rFonts w:ascii="Calibri" w:hAnsi="Calibri"/>
                <w:color w:val="000000"/>
                <w:sz w:val="22"/>
              </w:rPr>
              <w:t>0.3084</w:t>
            </w:r>
          </w:p>
        </w:tc>
        <w:tc>
          <w:tcPr>
            <w:tcW w:w="1176" w:type="dxa"/>
            <w:vAlign w:val="bottom"/>
          </w:tcPr>
          <w:p w14:paraId="69561573" w14:textId="5E7C73C1" w:rsidR="00CF00DD" w:rsidRPr="00DC55DC" w:rsidRDefault="00CF00DD" w:rsidP="00CF00DD">
            <w:pPr>
              <w:rPr>
                <w:sz w:val="20"/>
                <w:szCs w:val="20"/>
              </w:rPr>
            </w:pPr>
            <w:r>
              <w:rPr>
                <w:rFonts w:ascii="Calibri" w:hAnsi="Calibri"/>
                <w:color w:val="000000"/>
                <w:sz w:val="22"/>
              </w:rPr>
              <w:t>0.0171</w:t>
            </w:r>
          </w:p>
        </w:tc>
        <w:tc>
          <w:tcPr>
            <w:tcW w:w="1701" w:type="dxa"/>
            <w:vAlign w:val="bottom"/>
          </w:tcPr>
          <w:p w14:paraId="5DD3C8B1" w14:textId="7CE98873" w:rsidR="00CF00DD" w:rsidRPr="00DC55DC" w:rsidRDefault="00CF00DD" w:rsidP="00CF00DD">
            <w:pPr>
              <w:rPr>
                <w:sz w:val="20"/>
                <w:szCs w:val="20"/>
              </w:rPr>
            </w:pPr>
            <w:r>
              <w:rPr>
                <w:rFonts w:ascii="Calibri" w:hAnsi="Calibri"/>
                <w:color w:val="000000"/>
                <w:sz w:val="22"/>
              </w:rPr>
              <w:t>1.3613</w:t>
            </w:r>
          </w:p>
        </w:tc>
      </w:tr>
      <w:tr w:rsidR="00CF00DD" w14:paraId="419979EA" w14:textId="77777777" w:rsidTr="00CF00DD">
        <w:trPr>
          <w:trHeight w:hRule="exact" w:val="340"/>
        </w:trPr>
        <w:tc>
          <w:tcPr>
            <w:tcW w:w="3940" w:type="dxa"/>
          </w:tcPr>
          <w:p w14:paraId="11561ECF" w14:textId="77777777" w:rsidR="00CF00DD" w:rsidRPr="00DC55DC" w:rsidRDefault="00CF00DD" w:rsidP="00CF00DD">
            <w:pPr>
              <w:pStyle w:val="ListParagraph"/>
              <w:numPr>
                <w:ilvl w:val="0"/>
                <w:numId w:val="39"/>
              </w:numPr>
              <w:spacing w:line="360" w:lineRule="auto"/>
              <w:jc w:val="both"/>
              <w:rPr>
                <w:rFonts w:eastAsiaTheme="minorHAnsi" w:cs="Times New Roman"/>
                <w:sz w:val="20"/>
                <w:lang w:eastAsia="en-US"/>
              </w:rPr>
            </w:pPr>
            <w:r w:rsidRPr="00DC55DC">
              <w:rPr>
                <w:rFonts w:eastAsiaTheme="minorHAnsi" w:cs="Times New Roman"/>
                <w:sz w:val="20"/>
                <w:lang w:eastAsia="en-US"/>
              </w:rPr>
              <w:t>201213</w:t>
            </w:r>
          </w:p>
        </w:tc>
        <w:tc>
          <w:tcPr>
            <w:tcW w:w="1116" w:type="dxa"/>
            <w:vAlign w:val="bottom"/>
          </w:tcPr>
          <w:p w14:paraId="2FE8B022" w14:textId="0D979785" w:rsidR="00CF00DD" w:rsidRPr="00DC55DC" w:rsidRDefault="00CF00DD" w:rsidP="00CF00DD">
            <w:pPr>
              <w:rPr>
                <w:sz w:val="20"/>
                <w:szCs w:val="20"/>
              </w:rPr>
            </w:pPr>
            <w:r>
              <w:rPr>
                <w:rFonts w:ascii="Calibri" w:hAnsi="Calibri"/>
                <w:color w:val="000000"/>
                <w:sz w:val="22"/>
              </w:rPr>
              <w:t>0.4694</w:t>
            </w:r>
          </w:p>
        </w:tc>
        <w:tc>
          <w:tcPr>
            <w:tcW w:w="1176" w:type="dxa"/>
            <w:vAlign w:val="bottom"/>
          </w:tcPr>
          <w:p w14:paraId="0CB9E664" w14:textId="0C0D9933" w:rsidR="00CF00DD" w:rsidRPr="00DC55DC" w:rsidRDefault="00CF00DD" w:rsidP="00CF00DD">
            <w:pPr>
              <w:rPr>
                <w:sz w:val="20"/>
                <w:szCs w:val="20"/>
              </w:rPr>
            </w:pPr>
            <w:r>
              <w:rPr>
                <w:rFonts w:ascii="Calibri" w:hAnsi="Calibri"/>
                <w:color w:val="000000"/>
                <w:sz w:val="22"/>
              </w:rPr>
              <w:t>0.0173</w:t>
            </w:r>
          </w:p>
        </w:tc>
        <w:tc>
          <w:tcPr>
            <w:tcW w:w="1701" w:type="dxa"/>
            <w:vAlign w:val="bottom"/>
          </w:tcPr>
          <w:p w14:paraId="66BB7C39" w14:textId="652CB784" w:rsidR="00CF00DD" w:rsidRPr="00DC55DC" w:rsidRDefault="00CF00DD" w:rsidP="00CF00DD">
            <w:pPr>
              <w:rPr>
                <w:sz w:val="20"/>
                <w:szCs w:val="20"/>
              </w:rPr>
            </w:pPr>
            <w:r>
              <w:rPr>
                <w:rFonts w:ascii="Calibri" w:hAnsi="Calibri"/>
                <w:color w:val="000000"/>
                <w:sz w:val="22"/>
              </w:rPr>
              <w:t>1.5990</w:t>
            </w:r>
          </w:p>
        </w:tc>
      </w:tr>
      <w:tr w:rsidR="00CF00DD" w14:paraId="611E9939" w14:textId="77777777" w:rsidTr="00CF00DD">
        <w:trPr>
          <w:trHeight w:hRule="exact" w:val="340"/>
        </w:trPr>
        <w:tc>
          <w:tcPr>
            <w:tcW w:w="3940" w:type="dxa"/>
          </w:tcPr>
          <w:p w14:paraId="37E6CC5E" w14:textId="77777777" w:rsidR="00CF00DD" w:rsidRPr="00DC55DC" w:rsidRDefault="00CF00DD" w:rsidP="00CF00DD">
            <w:pPr>
              <w:pStyle w:val="ListParagraph"/>
              <w:numPr>
                <w:ilvl w:val="0"/>
                <w:numId w:val="39"/>
              </w:numPr>
              <w:spacing w:line="360" w:lineRule="auto"/>
              <w:jc w:val="both"/>
              <w:rPr>
                <w:rFonts w:eastAsiaTheme="minorHAnsi" w:cs="Times New Roman"/>
                <w:sz w:val="20"/>
                <w:lang w:eastAsia="en-US"/>
              </w:rPr>
            </w:pPr>
            <w:r w:rsidRPr="00DC55DC">
              <w:rPr>
                <w:rFonts w:eastAsiaTheme="minorHAnsi" w:cs="Times New Roman"/>
                <w:sz w:val="20"/>
                <w:lang w:eastAsia="en-US"/>
              </w:rPr>
              <w:t>201314</w:t>
            </w:r>
          </w:p>
        </w:tc>
        <w:tc>
          <w:tcPr>
            <w:tcW w:w="1116" w:type="dxa"/>
            <w:vAlign w:val="bottom"/>
          </w:tcPr>
          <w:p w14:paraId="2C3AFB21" w14:textId="1EAD0AD4" w:rsidR="00CF00DD" w:rsidRPr="00DC55DC" w:rsidRDefault="00CF00DD" w:rsidP="00CF00DD">
            <w:pPr>
              <w:rPr>
                <w:sz w:val="20"/>
                <w:szCs w:val="20"/>
              </w:rPr>
            </w:pPr>
            <w:r>
              <w:rPr>
                <w:rFonts w:ascii="Calibri" w:hAnsi="Calibri"/>
                <w:color w:val="000000"/>
                <w:sz w:val="22"/>
              </w:rPr>
              <w:t>0.4638</w:t>
            </w:r>
          </w:p>
        </w:tc>
        <w:tc>
          <w:tcPr>
            <w:tcW w:w="1176" w:type="dxa"/>
            <w:vAlign w:val="bottom"/>
          </w:tcPr>
          <w:p w14:paraId="6DC0F7AE" w14:textId="651EB9DA" w:rsidR="00CF00DD" w:rsidRPr="00DC55DC" w:rsidRDefault="00CF00DD" w:rsidP="00CF00DD">
            <w:pPr>
              <w:rPr>
                <w:sz w:val="20"/>
                <w:szCs w:val="20"/>
              </w:rPr>
            </w:pPr>
            <w:r>
              <w:rPr>
                <w:rFonts w:ascii="Calibri" w:hAnsi="Calibri"/>
                <w:color w:val="000000"/>
                <w:sz w:val="22"/>
              </w:rPr>
              <w:t>0.0171</w:t>
            </w:r>
          </w:p>
        </w:tc>
        <w:tc>
          <w:tcPr>
            <w:tcW w:w="1701" w:type="dxa"/>
            <w:vAlign w:val="bottom"/>
          </w:tcPr>
          <w:p w14:paraId="2C26A1EC" w14:textId="4E9D55D1" w:rsidR="00CF00DD" w:rsidRPr="00DC55DC" w:rsidRDefault="00CF00DD" w:rsidP="00CF00DD">
            <w:pPr>
              <w:rPr>
                <w:sz w:val="20"/>
                <w:szCs w:val="20"/>
              </w:rPr>
            </w:pPr>
            <w:r>
              <w:rPr>
                <w:rFonts w:ascii="Calibri" w:hAnsi="Calibri"/>
                <w:color w:val="000000"/>
                <w:sz w:val="22"/>
              </w:rPr>
              <w:t>1.5901</w:t>
            </w:r>
          </w:p>
        </w:tc>
      </w:tr>
      <w:tr w:rsidR="00CF00DD" w14:paraId="1253224D" w14:textId="77777777" w:rsidTr="00CF00DD">
        <w:trPr>
          <w:trHeight w:hRule="exact" w:val="340"/>
        </w:trPr>
        <w:tc>
          <w:tcPr>
            <w:tcW w:w="3940" w:type="dxa"/>
          </w:tcPr>
          <w:p w14:paraId="6DE90C47" w14:textId="77777777" w:rsidR="00CF00DD" w:rsidRPr="00DC55DC" w:rsidRDefault="00CF00DD" w:rsidP="00CF00DD">
            <w:pPr>
              <w:pStyle w:val="ListParagraph"/>
              <w:numPr>
                <w:ilvl w:val="0"/>
                <w:numId w:val="39"/>
              </w:numPr>
              <w:spacing w:line="360" w:lineRule="auto"/>
              <w:jc w:val="both"/>
              <w:rPr>
                <w:rFonts w:eastAsiaTheme="minorHAnsi" w:cs="Times New Roman"/>
                <w:sz w:val="20"/>
                <w:lang w:eastAsia="en-US"/>
              </w:rPr>
            </w:pPr>
            <w:r w:rsidRPr="00DC55DC">
              <w:rPr>
                <w:rFonts w:eastAsiaTheme="minorHAnsi" w:cs="Times New Roman"/>
                <w:sz w:val="20"/>
                <w:lang w:eastAsia="en-US"/>
              </w:rPr>
              <w:t>201415</w:t>
            </w:r>
          </w:p>
        </w:tc>
        <w:tc>
          <w:tcPr>
            <w:tcW w:w="1116" w:type="dxa"/>
            <w:vAlign w:val="bottom"/>
          </w:tcPr>
          <w:p w14:paraId="2088E134" w14:textId="5A8A9497" w:rsidR="00CF00DD" w:rsidRPr="00DC55DC" w:rsidRDefault="00CF00DD" w:rsidP="00CF00DD">
            <w:pPr>
              <w:rPr>
                <w:sz w:val="20"/>
                <w:szCs w:val="20"/>
              </w:rPr>
            </w:pPr>
            <w:r>
              <w:rPr>
                <w:rFonts w:ascii="Calibri" w:hAnsi="Calibri"/>
                <w:color w:val="000000"/>
                <w:sz w:val="22"/>
              </w:rPr>
              <w:t>0.5474</w:t>
            </w:r>
          </w:p>
        </w:tc>
        <w:tc>
          <w:tcPr>
            <w:tcW w:w="1176" w:type="dxa"/>
            <w:vAlign w:val="bottom"/>
          </w:tcPr>
          <w:p w14:paraId="3E344076" w14:textId="0FF0A50B" w:rsidR="00CF00DD" w:rsidRPr="00DC55DC" w:rsidRDefault="00CF00DD" w:rsidP="00CF00DD">
            <w:pPr>
              <w:rPr>
                <w:sz w:val="20"/>
                <w:szCs w:val="20"/>
              </w:rPr>
            </w:pPr>
            <w:r>
              <w:rPr>
                <w:rFonts w:ascii="Calibri" w:hAnsi="Calibri"/>
                <w:color w:val="000000"/>
                <w:sz w:val="22"/>
              </w:rPr>
              <w:t>0.0176</w:t>
            </w:r>
          </w:p>
        </w:tc>
        <w:tc>
          <w:tcPr>
            <w:tcW w:w="1701" w:type="dxa"/>
            <w:vAlign w:val="bottom"/>
          </w:tcPr>
          <w:p w14:paraId="2881B03F" w14:textId="559E4457" w:rsidR="00CF00DD" w:rsidRPr="00DC55DC" w:rsidRDefault="00CF00DD" w:rsidP="00CF00DD">
            <w:pPr>
              <w:rPr>
                <w:sz w:val="20"/>
                <w:szCs w:val="20"/>
              </w:rPr>
            </w:pPr>
            <w:r>
              <w:rPr>
                <w:rFonts w:ascii="Calibri" w:hAnsi="Calibri"/>
                <w:color w:val="000000"/>
                <w:sz w:val="22"/>
              </w:rPr>
              <w:t>1.7288</w:t>
            </w:r>
          </w:p>
        </w:tc>
      </w:tr>
      <w:tr w:rsidR="00CF00DD" w14:paraId="13E0320F" w14:textId="77777777" w:rsidTr="00CF00DD">
        <w:trPr>
          <w:trHeight w:hRule="exact" w:val="340"/>
        </w:trPr>
        <w:tc>
          <w:tcPr>
            <w:tcW w:w="3940" w:type="dxa"/>
          </w:tcPr>
          <w:p w14:paraId="1A57AD68" w14:textId="77777777" w:rsidR="00CF00DD" w:rsidRPr="00DC55DC" w:rsidRDefault="00CF00DD" w:rsidP="00CF00DD">
            <w:pPr>
              <w:spacing w:line="360" w:lineRule="auto"/>
              <w:jc w:val="both"/>
              <w:rPr>
                <w:rFonts w:eastAsiaTheme="minorHAnsi" w:cs="Times New Roman"/>
                <w:sz w:val="20"/>
                <w:lang w:eastAsia="en-US"/>
              </w:rPr>
            </w:pPr>
            <w:r w:rsidRPr="00DC55DC">
              <w:rPr>
                <w:rFonts w:eastAsiaTheme="minorHAnsi" w:cs="Times New Roman"/>
                <w:sz w:val="20"/>
                <w:lang w:eastAsia="en-US"/>
              </w:rPr>
              <w:t>In-hospital Death</w:t>
            </w:r>
          </w:p>
        </w:tc>
        <w:tc>
          <w:tcPr>
            <w:tcW w:w="1116" w:type="dxa"/>
            <w:vAlign w:val="bottom"/>
          </w:tcPr>
          <w:p w14:paraId="30A4228F" w14:textId="59425625" w:rsidR="00CF00DD" w:rsidRPr="00DC55DC" w:rsidRDefault="00CF00DD" w:rsidP="00CF00DD">
            <w:pPr>
              <w:rPr>
                <w:sz w:val="20"/>
                <w:szCs w:val="20"/>
              </w:rPr>
            </w:pPr>
            <w:r>
              <w:rPr>
                <w:rFonts w:ascii="Calibri" w:hAnsi="Calibri"/>
                <w:color w:val="000000"/>
                <w:sz w:val="22"/>
              </w:rPr>
              <w:t>0.5211</w:t>
            </w:r>
          </w:p>
        </w:tc>
        <w:tc>
          <w:tcPr>
            <w:tcW w:w="1176" w:type="dxa"/>
            <w:vAlign w:val="bottom"/>
          </w:tcPr>
          <w:p w14:paraId="23CE8F22" w14:textId="66BEF726" w:rsidR="00CF00DD" w:rsidRPr="00DC55DC" w:rsidRDefault="00CF00DD" w:rsidP="00CF00DD">
            <w:pPr>
              <w:rPr>
                <w:sz w:val="20"/>
                <w:szCs w:val="20"/>
              </w:rPr>
            </w:pPr>
            <w:r>
              <w:rPr>
                <w:rFonts w:ascii="Calibri" w:hAnsi="Calibri"/>
                <w:color w:val="000000"/>
                <w:sz w:val="22"/>
              </w:rPr>
              <w:t>0.0387</w:t>
            </w:r>
          </w:p>
        </w:tc>
        <w:tc>
          <w:tcPr>
            <w:tcW w:w="1701" w:type="dxa"/>
            <w:vAlign w:val="bottom"/>
          </w:tcPr>
          <w:p w14:paraId="65BCB7B3" w14:textId="181948D0" w:rsidR="00CF00DD" w:rsidRPr="00DC55DC" w:rsidRDefault="00CF00DD" w:rsidP="00CF00DD">
            <w:pPr>
              <w:rPr>
                <w:sz w:val="20"/>
                <w:szCs w:val="20"/>
              </w:rPr>
            </w:pPr>
            <w:r>
              <w:rPr>
                <w:rFonts w:ascii="Calibri" w:hAnsi="Calibri"/>
                <w:color w:val="000000"/>
                <w:sz w:val="22"/>
              </w:rPr>
              <w:t>1.6838</w:t>
            </w:r>
          </w:p>
        </w:tc>
      </w:tr>
      <w:tr w:rsidR="00CF00DD" w14:paraId="431E433D" w14:textId="77777777" w:rsidTr="00CF00DD">
        <w:trPr>
          <w:trHeight w:hRule="exact" w:val="340"/>
        </w:trPr>
        <w:tc>
          <w:tcPr>
            <w:tcW w:w="3940" w:type="dxa"/>
          </w:tcPr>
          <w:p w14:paraId="04F4D22A" w14:textId="77777777" w:rsidR="00CF00DD" w:rsidRDefault="00CF00DD" w:rsidP="00CF00DD">
            <w:pPr>
              <w:spacing w:line="360" w:lineRule="auto"/>
              <w:jc w:val="both"/>
              <w:rPr>
                <w:rFonts w:eastAsiaTheme="minorHAnsi" w:cs="Times New Roman"/>
                <w:sz w:val="20"/>
                <w:lang w:eastAsia="en-US"/>
              </w:rPr>
            </w:pPr>
            <w:r w:rsidRPr="00DC55DC">
              <w:rPr>
                <w:rFonts w:eastAsiaTheme="minorHAnsi" w:cs="Times New Roman"/>
                <w:sz w:val="20"/>
                <w:lang w:eastAsia="en-US"/>
              </w:rPr>
              <w:t>IMD</w:t>
            </w:r>
            <w:r>
              <w:rPr>
                <w:rFonts w:eastAsiaTheme="minorHAnsi" w:cs="Times New Roman"/>
                <w:sz w:val="20"/>
                <w:lang w:eastAsia="en-US"/>
              </w:rPr>
              <w:t xml:space="preserve"> (continuous between 0 and 100)</w:t>
            </w:r>
          </w:p>
        </w:tc>
        <w:tc>
          <w:tcPr>
            <w:tcW w:w="1116" w:type="dxa"/>
            <w:vAlign w:val="bottom"/>
          </w:tcPr>
          <w:p w14:paraId="3F2F3B8C" w14:textId="288EB766" w:rsidR="00CF00DD" w:rsidRPr="00DC55DC" w:rsidRDefault="00CF00DD" w:rsidP="00CF00DD">
            <w:pPr>
              <w:rPr>
                <w:sz w:val="20"/>
                <w:szCs w:val="20"/>
              </w:rPr>
            </w:pPr>
            <w:r>
              <w:rPr>
                <w:rFonts w:ascii="Calibri" w:hAnsi="Calibri"/>
                <w:color w:val="000000"/>
                <w:sz w:val="22"/>
              </w:rPr>
              <w:t>0.0021</w:t>
            </w:r>
          </w:p>
        </w:tc>
        <w:tc>
          <w:tcPr>
            <w:tcW w:w="1176" w:type="dxa"/>
            <w:vAlign w:val="bottom"/>
          </w:tcPr>
          <w:p w14:paraId="120C3CBC" w14:textId="5F8AECA3" w:rsidR="00CF00DD" w:rsidRPr="00DC55DC" w:rsidRDefault="00CF00DD" w:rsidP="00CF00DD">
            <w:pPr>
              <w:rPr>
                <w:sz w:val="20"/>
                <w:szCs w:val="20"/>
              </w:rPr>
            </w:pPr>
            <w:r>
              <w:rPr>
                <w:rFonts w:ascii="Calibri" w:hAnsi="Calibri"/>
                <w:color w:val="000000"/>
                <w:sz w:val="22"/>
              </w:rPr>
              <w:t>0.0003</w:t>
            </w:r>
          </w:p>
        </w:tc>
        <w:tc>
          <w:tcPr>
            <w:tcW w:w="1701" w:type="dxa"/>
            <w:vAlign w:val="bottom"/>
          </w:tcPr>
          <w:p w14:paraId="01696397" w14:textId="4E66F648" w:rsidR="00CF00DD" w:rsidRPr="00DC55DC" w:rsidRDefault="00CF00DD" w:rsidP="00CF00DD">
            <w:pPr>
              <w:rPr>
                <w:sz w:val="20"/>
                <w:szCs w:val="20"/>
              </w:rPr>
            </w:pPr>
            <w:r>
              <w:rPr>
                <w:rFonts w:ascii="Calibri" w:hAnsi="Calibri"/>
                <w:color w:val="000000"/>
                <w:sz w:val="22"/>
              </w:rPr>
              <w:t>1.0021</w:t>
            </w:r>
          </w:p>
        </w:tc>
      </w:tr>
      <w:tr w:rsidR="00CF00DD" w14:paraId="461EC631" w14:textId="77777777" w:rsidTr="00CF00DD">
        <w:trPr>
          <w:trHeight w:hRule="exact" w:val="340"/>
        </w:trPr>
        <w:tc>
          <w:tcPr>
            <w:tcW w:w="3940" w:type="dxa"/>
          </w:tcPr>
          <w:p w14:paraId="7B065B84" w14:textId="77777777" w:rsidR="00CF00DD" w:rsidRDefault="00CF00DD" w:rsidP="00CF00DD">
            <w:pPr>
              <w:spacing w:line="360" w:lineRule="auto"/>
              <w:jc w:val="both"/>
              <w:rPr>
                <w:rFonts w:eastAsiaTheme="minorHAnsi" w:cs="Times New Roman"/>
                <w:sz w:val="20"/>
                <w:lang w:eastAsia="en-US"/>
              </w:rPr>
            </w:pPr>
            <w:r>
              <w:rPr>
                <w:rFonts w:eastAsiaTheme="minorHAnsi" w:cs="Times New Roman"/>
                <w:sz w:val="20"/>
                <w:lang w:eastAsia="en-US"/>
              </w:rPr>
              <w:t>Distance from home to the hospital</w:t>
            </w:r>
          </w:p>
        </w:tc>
        <w:tc>
          <w:tcPr>
            <w:tcW w:w="1116" w:type="dxa"/>
            <w:vAlign w:val="bottom"/>
          </w:tcPr>
          <w:p w14:paraId="3DF1D2E3" w14:textId="2C1657DC" w:rsidR="00CF00DD" w:rsidRPr="00DC55DC" w:rsidRDefault="00CF00DD" w:rsidP="00CF00DD">
            <w:pPr>
              <w:rPr>
                <w:sz w:val="20"/>
                <w:szCs w:val="20"/>
              </w:rPr>
            </w:pPr>
            <w:r>
              <w:rPr>
                <w:rFonts w:ascii="Calibri" w:hAnsi="Calibri"/>
                <w:color w:val="000000"/>
                <w:sz w:val="22"/>
              </w:rPr>
              <w:t>0.0009</w:t>
            </w:r>
          </w:p>
        </w:tc>
        <w:tc>
          <w:tcPr>
            <w:tcW w:w="1176" w:type="dxa"/>
            <w:vAlign w:val="bottom"/>
          </w:tcPr>
          <w:p w14:paraId="013412BB" w14:textId="47EE7C50" w:rsidR="00CF00DD" w:rsidRPr="00DC55DC" w:rsidRDefault="00CF00DD" w:rsidP="00CF00DD">
            <w:pPr>
              <w:rPr>
                <w:sz w:val="20"/>
                <w:szCs w:val="20"/>
              </w:rPr>
            </w:pPr>
            <w:r>
              <w:rPr>
                <w:rFonts w:ascii="Calibri" w:hAnsi="Calibri"/>
                <w:color w:val="000000"/>
                <w:sz w:val="22"/>
              </w:rPr>
              <w:t>0.0003</w:t>
            </w:r>
          </w:p>
        </w:tc>
        <w:tc>
          <w:tcPr>
            <w:tcW w:w="1701" w:type="dxa"/>
            <w:vAlign w:val="bottom"/>
          </w:tcPr>
          <w:p w14:paraId="5284A79B" w14:textId="13C64A69" w:rsidR="00CF00DD" w:rsidRPr="00DC55DC" w:rsidRDefault="00CF00DD" w:rsidP="00CF00DD">
            <w:pPr>
              <w:rPr>
                <w:sz w:val="20"/>
                <w:szCs w:val="20"/>
              </w:rPr>
            </w:pPr>
            <w:r>
              <w:rPr>
                <w:rFonts w:ascii="Calibri" w:hAnsi="Calibri"/>
                <w:color w:val="000000"/>
                <w:sz w:val="22"/>
              </w:rPr>
              <w:t>1.0009</w:t>
            </w:r>
          </w:p>
        </w:tc>
      </w:tr>
      <w:tr w:rsidR="00CF00DD" w14:paraId="250BF542" w14:textId="77777777" w:rsidTr="00CF00DD">
        <w:trPr>
          <w:trHeight w:hRule="exact" w:val="340"/>
        </w:trPr>
        <w:tc>
          <w:tcPr>
            <w:tcW w:w="3940" w:type="dxa"/>
          </w:tcPr>
          <w:p w14:paraId="25A61A52" w14:textId="77777777" w:rsidR="00CF00DD" w:rsidRPr="00DC55DC" w:rsidRDefault="00CF00DD" w:rsidP="00CF00DD">
            <w:pPr>
              <w:spacing w:line="360" w:lineRule="auto"/>
              <w:jc w:val="both"/>
              <w:rPr>
                <w:rFonts w:eastAsiaTheme="minorHAnsi" w:cs="Times New Roman"/>
                <w:sz w:val="20"/>
                <w:lang w:eastAsia="en-US"/>
              </w:rPr>
            </w:pPr>
            <w:r>
              <w:rPr>
                <w:rFonts w:eastAsiaTheme="minorHAnsi" w:cs="Times New Roman"/>
                <w:sz w:val="20"/>
                <w:lang w:eastAsia="en-US"/>
              </w:rPr>
              <w:t>Living in Urban Area</w:t>
            </w:r>
          </w:p>
        </w:tc>
        <w:tc>
          <w:tcPr>
            <w:tcW w:w="1116" w:type="dxa"/>
            <w:vAlign w:val="bottom"/>
          </w:tcPr>
          <w:p w14:paraId="704C916E" w14:textId="30ED1ECD" w:rsidR="00CF00DD" w:rsidRPr="00DC55DC" w:rsidRDefault="00CF00DD" w:rsidP="00CF00DD">
            <w:pPr>
              <w:rPr>
                <w:sz w:val="20"/>
                <w:szCs w:val="20"/>
              </w:rPr>
            </w:pPr>
            <w:r>
              <w:rPr>
                <w:rFonts w:ascii="Calibri" w:hAnsi="Calibri"/>
                <w:color w:val="000000"/>
                <w:sz w:val="22"/>
              </w:rPr>
              <w:t>0.0620</w:t>
            </w:r>
          </w:p>
        </w:tc>
        <w:tc>
          <w:tcPr>
            <w:tcW w:w="1176" w:type="dxa"/>
            <w:vAlign w:val="bottom"/>
          </w:tcPr>
          <w:p w14:paraId="44741A67" w14:textId="4AA6C0DC" w:rsidR="00CF00DD" w:rsidRPr="00DC55DC" w:rsidRDefault="00CF00DD" w:rsidP="00CF00DD">
            <w:pPr>
              <w:rPr>
                <w:sz w:val="20"/>
                <w:szCs w:val="20"/>
              </w:rPr>
            </w:pPr>
            <w:r>
              <w:rPr>
                <w:rFonts w:ascii="Calibri" w:hAnsi="Calibri"/>
                <w:color w:val="000000"/>
                <w:sz w:val="22"/>
              </w:rPr>
              <w:t>0.0114</w:t>
            </w:r>
          </w:p>
        </w:tc>
        <w:tc>
          <w:tcPr>
            <w:tcW w:w="1701" w:type="dxa"/>
            <w:vAlign w:val="bottom"/>
          </w:tcPr>
          <w:p w14:paraId="03992423" w14:textId="51F9A7C1" w:rsidR="00CF00DD" w:rsidRPr="00DC55DC" w:rsidRDefault="00CF00DD" w:rsidP="00CF00DD">
            <w:pPr>
              <w:rPr>
                <w:sz w:val="20"/>
                <w:szCs w:val="20"/>
              </w:rPr>
            </w:pPr>
            <w:r>
              <w:rPr>
                <w:rFonts w:ascii="Calibri" w:hAnsi="Calibri"/>
                <w:color w:val="000000"/>
                <w:sz w:val="22"/>
              </w:rPr>
              <w:t>1.0640</w:t>
            </w:r>
          </w:p>
        </w:tc>
      </w:tr>
      <w:tr w:rsidR="00CF00DD" w14:paraId="2A2DAFFF" w14:textId="77777777" w:rsidTr="00CF00DD">
        <w:trPr>
          <w:trHeight w:hRule="exact" w:val="340"/>
        </w:trPr>
        <w:tc>
          <w:tcPr>
            <w:tcW w:w="3940" w:type="dxa"/>
          </w:tcPr>
          <w:p w14:paraId="56CCB4B3" w14:textId="77777777" w:rsidR="00CF00DD" w:rsidRPr="00DC55DC" w:rsidRDefault="00CF00DD" w:rsidP="00CF00DD">
            <w:pPr>
              <w:spacing w:line="360" w:lineRule="auto"/>
              <w:jc w:val="both"/>
              <w:rPr>
                <w:rFonts w:eastAsiaTheme="minorHAnsi" w:cs="Times New Roman"/>
                <w:sz w:val="20"/>
                <w:lang w:eastAsia="en-US"/>
              </w:rPr>
            </w:pPr>
            <w:r w:rsidRPr="00DC55DC">
              <w:rPr>
                <w:rFonts w:eastAsiaTheme="minorHAnsi" w:cs="Times New Roman"/>
                <w:sz w:val="20"/>
                <w:lang w:eastAsia="en-US"/>
              </w:rPr>
              <w:t>MFF</w:t>
            </w:r>
            <w:r>
              <w:rPr>
                <w:rFonts w:eastAsiaTheme="minorHAnsi" w:cs="Times New Roman"/>
                <w:sz w:val="20"/>
                <w:lang w:eastAsia="en-US"/>
              </w:rPr>
              <w:t xml:space="preserve"> index of the hospital</w:t>
            </w:r>
          </w:p>
        </w:tc>
        <w:tc>
          <w:tcPr>
            <w:tcW w:w="1116" w:type="dxa"/>
            <w:vAlign w:val="bottom"/>
          </w:tcPr>
          <w:p w14:paraId="063D1B0F" w14:textId="3EB5CC34" w:rsidR="00CF00DD" w:rsidRPr="00DC55DC" w:rsidRDefault="00CF00DD" w:rsidP="00CF00DD">
            <w:pPr>
              <w:rPr>
                <w:sz w:val="20"/>
                <w:szCs w:val="20"/>
              </w:rPr>
            </w:pPr>
            <w:r>
              <w:rPr>
                <w:rFonts w:ascii="Calibri" w:hAnsi="Calibri"/>
                <w:color w:val="000000"/>
                <w:sz w:val="22"/>
              </w:rPr>
              <w:t>2.3655</w:t>
            </w:r>
          </w:p>
        </w:tc>
        <w:tc>
          <w:tcPr>
            <w:tcW w:w="1176" w:type="dxa"/>
            <w:vAlign w:val="bottom"/>
          </w:tcPr>
          <w:p w14:paraId="7143D4BB" w14:textId="2B620BB6" w:rsidR="00CF00DD" w:rsidRPr="00DC55DC" w:rsidRDefault="00CF00DD" w:rsidP="00CF00DD">
            <w:pPr>
              <w:rPr>
                <w:sz w:val="20"/>
                <w:szCs w:val="20"/>
              </w:rPr>
            </w:pPr>
            <w:r>
              <w:rPr>
                <w:rFonts w:ascii="Calibri" w:hAnsi="Calibri"/>
                <w:color w:val="000000"/>
                <w:sz w:val="22"/>
              </w:rPr>
              <w:t>0.0612</w:t>
            </w:r>
          </w:p>
        </w:tc>
        <w:tc>
          <w:tcPr>
            <w:tcW w:w="1701" w:type="dxa"/>
            <w:vAlign w:val="bottom"/>
          </w:tcPr>
          <w:p w14:paraId="3A109B97" w14:textId="76046E9E" w:rsidR="00CF00DD" w:rsidRPr="00DC55DC" w:rsidRDefault="00CF00DD" w:rsidP="00CF00DD">
            <w:pPr>
              <w:rPr>
                <w:sz w:val="20"/>
                <w:szCs w:val="20"/>
              </w:rPr>
            </w:pPr>
            <w:r>
              <w:rPr>
                <w:rFonts w:ascii="Calibri" w:hAnsi="Calibri"/>
                <w:color w:val="000000"/>
                <w:sz w:val="22"/>
              </w:rPr>
              <w:t>10.6492</w:t>
            </w:r>
          </w:p>
        </w:tc>
      </w:tr>
      <w:tr w:rsidR="00CF00DD" w14:paraId="4B2BDF1E" w14:textId="77777777" w:rsidTr="00CF00DD">
        <w:trPr>
          <w:trHeight w:hRule="exact" w:val="340"/>
        </w:trPr>
        <w:tc>
          <w:tcPr>
            <w:tcW w:w="3940" w:type="dxa"/>
          </w:tcPr>
          <w:p w14:paraId="2FABB2EB" w14:textId="38A0830A" w:rsidR="00CF00DD" w:rsidRPr="00DC55DC" w:rsidRDefault="00CF00DD" w:rsidP="00CF00DD">
            <w:pPr>
              <w:spacing w:line="360" w:lineRule="auto"/>
              <w:jc w:val="both"/>
              <w:rPr>
                <w:rFonts w:eastAsiaTheme="minorHAnsi" w:cs="Times New Roman"/>
                <w:sz w:val="20"/>
                <w:lang w:eastAsia="en-US"/>
              </w:rPr>
            </w:pPr>
            <w:r>
              <w:rPr>
                <w:rFonts w:eastAsiaTheme="minorHAnsi" w:cs="Times New Roman"/>
                <w:sz w:val="20"/>
                <w:lang w:eastAsia="en-US"/>
              </w:rPr>
              <w:t xml:space="preserve">Having Coronary Artery Disease </w:t>
            </w:r>
          </w:p>
        </w:tc>
        <w:tc>
          <w:tcPr>
            <w:tcW w:w="1116" w:type="dxa"/>
            <w:vAlign w:val="bottom"/>
          </w:tcPr>
          <w:p w14:paraId="68FBAD0C" w14:textId="0F53E9E9" w:rsidR="00CF00DD" w:rsidRPr="00DC55DC" w:rsidRDefault="00CF00DD" w:rsidP="00CF00DD">
            <w:pPr>
              <w:rPr>
                <w:sz w:val="20"/>
                <w:szCs w:val="20"/>
              </w:rPr>
            </w:pPr>
            <w:r>
              <w:rPr>
                <w:rFonts w:ascii="Calibri" w:hAnsi="Calibri"/>
                <w:color w:val="000000"/>
                <w:sz w:val="22"/>
              </w:rPr>
              <w:t>0.0458</w:t>
            </w:r>
          </w:p>
        </w:tc>
        <w:tc>
          <w:tcPr>
            <w:tcW w:w="1176" w:type="dxa"/>
            <w:vAlign w:val="bottom"/>
          </w:tcPr>
          <w:p w14:paraId="1A2A90BC" w14:textId="60CCC184" w:rsidR="00CF00DD" w:rsidRPr="00DC55DC" w:rsidRDefault="00CF00DD" w:rsidP="00CF00DD">
            <w:pPr>
              <w:rPr>
                <w:sz w:val="20"/>
                <w:szCs w:val="20"/>
              </w:rPr>
            </w:pPr>
            <w:r>
              <w:rPr>
                <w:rFonts w:ascii="Calibri" w:hAnsi="Calibri"/>
                <w:color w:val="000000"/>
                <w:sz w:val="22"/>
              </w:rPr>
              <w:t>0.0108</w:t>
            </w:r>
          </w:p>
        </w:tc>
        <w:tc>
          <w:tcPr>
            <w:tcW w:w="1701" w:type="dxa"/>
            <w:vAlign w:val="bottom"/>
          </w:tcPr>
          <w:p w14:paraId="7384DD54" w14:textId="660F4825" w:rsidR="00CF00DD" w:rsidRPr="00DC55DC" w:rsidRDefault="00CF00DD" w:rsidP="00CF00DD">
            <w:pPr>
              <w:rPr>
                <w:sz w:val="20"/>
                <w:szCs w:val="20"/>
              </w:rPr>
            </w:pPr>
            <w:r>
              <w:rPr>
                <w:rFonts w:ascii="Calibri" w:hAnsi="Calibri"/>
                <w:color w:val="000000"/>
                <w:sz w:val="22"/>
              </w:rPr>
              <w:t>1.0469</w:t>
            </w:r>
          </w:p>
        </w:tc>
      </w:tr>
      <w:tr w:rsidR="00CF00DD" w14:paraId="251F4F8B" w14:textId="77777777" w:rsidTr="00CF00DD">
        <w:trPr>
          <w:trHeight w:hRule="exact" w:val="340"/>
        </w:trPr>
        <w:tc>
          <w:tcPr>
            <w:tcW w:w="3940" w:type="dxa"/>
          </w:tcPr>
          <w:p w14:paraId="35C58FB2" w14:textId="77777777" w:rsidR="00CF00DD" w:rsidRPr="00DC55DC" w:rsidRDefault="00CF00DD" w:rsidP="00CF00DD">
            <w:pPr>
              <w:spacing w:line="360" w:lineRule="auto"/>
              <w:jc w:val="both"/>
              <w:rPr>
                <w:rFonts w:eastAsiaTheme="minorHAnsi" w:cs="Times New Roman"/>
                <w:sz w:val="20"/>
                <w:lang w:eastAsia="en-US"/>
              </w:rPr>
            </w:pPr>
            <w:r>
              <w:rPr>
                <w:rFonts w:eastAsiaTheme="minorHAnsi" w:cs="Times New Roman"/>
                <w:sz w:val="20"/>
                <w:lang w:eastAsia="en-US"/>
              </w:rPr>
              <w:t xml:space="preserve">Having </w:t>
            </w:r>
            <w:r w:rsidRPr="00DC55DC">
              <w:rPr>
                <w:rFonts w:eastAsiaTheme="minorHAnsi" w:cs="Times New Roman"/>
                <w:sz w:val="20"/>
                <w:lang w:eastAsia="en-US"/>
              </w:rPr>
              <w:t>COPD</w:t>
            </w:r>
          </w:p>
        </w:tc>
        <w:tc>
          <w:tcPr>
            <w:tcW w:w="1116" w:type="dxa"/>
            <w:vAlign w:val="bottom"/>
          </w:tcPr>
          <w:p w14:paraId="77267322" w14:textId="7C0ED6AB" w:rsidR="00CF00DD" w:rsidRPr="00DC55DC" w:rsidRDefault="00CF00DD" w:rsidP="00CF00DD">
            <w:pPr>
              <w:rPr>
                <w:sz w:val="20"/>
                <w:szCs w:val="20"/>
              </w:rPr>
            </w:pPr>
            <w:r>
              <w:rPr>
                <w:rFonts w:ascii="Calibri" w:hAnsi="Calibri"/>
                <w:color w:val="000000"/>
                <w:sz w:val="22"/>
              </w:rPr>
              <w:t>0.0284</w:t>
            </w:r>
          </w:p>
        </w:tc>
        <w:tc>
          <w:tcPr>
            <w:tcW w:w="1176" w:type="dxa"/>
            <w:vAlign w:val="bottom"/>
          </w:tcPr>
          <w:p w14:paraId="191BC688" w14:textId="387CF3CC" w:rsidR="00CF00DD" w:rsidRPr="00DC55DC" w:rsidRDefault="00CF00DD" w:rsidP="00CF00DD">
            <w:pPr>
              <w:rPr>
                <w:sz w:val="20"/>
                <w:szCs w:val="20"/>
              </w:rPr>
            </w:pPr>
            <w:r>
              <w:rPr>
                <w:rFonts w:ascii="Calibri" w:hAnsi="Calibri"/>
                <w:color w:val="000000"/>
                <w:sz w:val="22"/>
              </w:rPr>
              <w:t>0.0104</w:t>
            </w:r>
          </w:p>
        </w:tc>
        <w:tc>
          <w:tcPr>
            <w:tcW w:w="1701" w:type="dxa"/>
            <w:vAlign w:val="bottom"/>
          </w:tcPr>
          <w:p w14:paraId="51D9A1C1" w14:textId="4F6FE35E" w:rsidR="00CF00DD" w:rsidRPr="00DC55DC" w:rsidRDefault="00CF00DD" w:rsidP="00CF00DD">
            <w:pPr>
              <w:rPr>
                <w:sz w:val="20"/>
                <w:szCs w:val="20"/>
              </w:rPr>
            </w:pPr>
            <w:r>
              <w:rPr>
                <w:rFonts w:ascii="Calibri" w:hAnsi="Calibri"/>
                <w:color w:val="000000"/>
                <w:sz w:val="22"/>
              </w:rPr>
              <w:t>1.0288</w:t>
            </w:r>
          </w:p>
        </w:tc>
      </w:tr>
      <w:tr w:rsidR="00CF00DD" w14:paraId="5891144C" w14:textId="77777777" w:rsidTr="00CF00DD">
        <w:trPr>
          <w:trHeight w:hRule="exact" w:val="340"/>
        </w:trPr>
        <w:tc>
          <w:tcPr>
            <w:tcW w:w="3940" w:type="dxa"/>
          </w:tcPr>
          <w:p w14:paraId="5B737280" w14:textId="77777777" w:rsidR="00CF00DD" w:rsidRDefault="00CF00DD" w:rsidP="00CF00DD">
            <w:pPr>
              <w:spacing w:line="360" w:lineRule="auto"/>
              <w:jc w:val="both"/>
              <w:rPr>
                <w:rFonts w:eastAsiaTheme="minorHAnsi" w:cs="Times New Roman"/>
                <w:sz w:val="20"/>
                <w:lang w:eastAsia="en-US"/>
              </w:rPr>
            </w:pPr>
            <w:r>
              <w:rPr>
                <w:rFonts w:eastAsiaTheme="minorHAnsi" w:cs="Times New Roman"/>
                <w:sz w:val="20"/>
                <w:lang w:eastAsia="en-US"/>
              </w:rPr>
              <w:t>Having Renal Disease</w:t>
            </w:r>
          </w:p>
        </w:tc>
        <w:tc>
          <w:tcPr>
            <w:tcW w:w="1116" w:type="dxa"/>
            <w:vAlign w:val="bottom"/>
          </w:tcPr>
          <w:p w14:paraId="76FC8DE9" w14:textId="52A88275" w:rsidR="00CF00DD" w:rsidRPr="00DC55DC" w:rsidRDefault="00CF00DD" w:rsidP="00CF00DD">
            <w:pPr>
              <w:rPr>
                <w:sz w:val="20"/>
                <w:szCs w:val="20"/>
              </w:rPr>
            </w:pPr>
            <w:r>
              <w:rPr>
                <w:rFonts w:ascii="Calibri" w:hAnsi="Calibri"/>
                <w:color w:val="000000"/>
                <w:sz w:val="22"/>
              </w:rPr>
              <w:t>0.0784</w:t>
            </w:r>
          </w:p>
        </w:tc>
        <w:tc>
          <w:tcPr>
            <w:tcW w:w="1176" w:type="dxa"/>
            <w:vAlign w:val="bottom"/>
          </w:tcPr>
          <w:p w14:paraId="51DD15AF" w14:textId="447907D2" w:rsidR="00CF00DD" w:rsidRPr="00DC55DC" w:rsidRDefault="00CF00DD" w:rsidP="00CF00DD">
            <w:pPr>
              <w:rPr>
                <w:sz w:val="20"/>
                <w:szCs w:val="20"/>
              </w:rPr>
            </w:pPr>
            <w:r>
              <w:rPr>
                <w:rFonts w:ascii="Calibri" w:hAnsi="Calibri"/>
                <w:color w:val="000000"/>
                <w:sz w:val="22"/>
              </w:rPr>
              <w:t>0.0182</w:t>
            </w:r>
          </w:p>
        </w:tc>
        <w:tc>
          <w:tcPr>
            <w:tcW w:w="1701" w:type="dxa"/>
            <w:vAlign w:val="bottom"/>
          </w:tcPr>
          <w:p w14:paraId="71DD79A8" w14:textId="4CB46940" w:rsidR="00CF00DD" w:rsidRPr="00DC55DC" w:rsidRDefault="00CF00DD" w:rsidP="00CF00DD">
            <w:pPr>
              <w:rPr>
                <w:sz w:val="20"/>
                <w:szCs w:val="20"/>
              </w:rPr>
            </w:pPr>
            <w:r>
              <w:rPr>
                <w:rFonts w:ascii="Calibri" w:hAnsi="Calibri"/>
                <w:color w:val="000000"/>
                <w:sz w:val="22"/>
              </w:rPr>
              <w:t>1.0816</w:t>
            </w:r>
          </w:p>
        </w:tc>
      </w:tr>
      <w:tr w:rsidR="00CF00DD" w:rsidRPr="00434574" w14:paraId="324EC649" w14:textId="77777777" w:rsidTr="00CF00DD">
        <w:trPr>
          <w:trHeight w:hRule="exact" w:val="340"/>
        </w:trPr>
        <w:tc>
          <w:tcPr>
            <w:tcW w:w="3940" w:type="dxa"/>
          </w:tcPr>
          <w:p w14:paraId="50C48199" w14:textId="2B8B6E5F" w:rsidR="00CF00DD" w:rsidRPr="00434574" w:rsidRDefault="00CF00DD" w:rsidP="00CF00DD">
            <w:pPr>
              <w:spacing w:line="360" w:lineRule="auto"/>
              <w:jc w:val="both"/>
              <w:rPr>
                <w:rFonts w:eastAsiaTheme="minorHAnsi" w:cs="Times New Roman"/>
                <w:color w:val="FF0000"/>
                <w:sz w:val="20"/>
                <w:lang w:eastAsia="en-US"/>
              </w:rPr>
            </w:pPr>
            <w:r>
              <w:rPr>
                <w:rFonts w:eastAsiaTheme="minorHAnsi" w:cs="Times New Roman"/>
                <w:color w:val="FF0000"/>
                <w:sz w:val="20"/>
                <w:lang w:eastAsia="en-US"/>
              </w:rPr>
              <w:t xml:space="preserve">Annual </w:t>
            </w:r>
            <w:r w:rsidRPr="00434574">
              <w:rPr>
                <w:rFonts w:eastAsiaTheme="minorHAnsi" w:cs="Times New Roman"/>
                <w:color w:val="FF0000"/>
                <w:sz w:val="20"/>
                <w:lang w:eastAsia="en-US"/>
              </w:rPr>
              <w:t>Volume of the hospital</w:t>
            </w:r>
          </w:p>
        </w:tc>
        <w:tc>
          <w:tcPr>
            <w:tcW w:w="1116" w:type="dxa"/>
            <w:vAlign w:val="bottom"/>
          </w:tcPr>
          <w:p w14:paraId="1DACAA31" w14:textId="656C2271" w:rsidR="00CF00DD" w:rsidRPr="00434574" w:rsidRDefault="00CF00DD" w:rsidP="00CF00DD">
            <w:pPr>
              <w:rPr>
                <w:color w:val="FF0000"/>
                <w:sz w:val="20"/>
                <w:szCs w:val="20"/>
              </w:rPr>
            </w:pPr>
            <w:r>
              <w:rPr>
                <w:rFonts w:ascii="Calibri" w:hAnsi="Calibri"/>
                <w:color w:val="000000"/>
                <w:sz w:val="22"/>
              </w:rPr>
              <w:t>0.0007</w:t>
            </w:r>
          </w:p>
        </w:tc>
        <w:tc>
          <w:tcPr>
            <w:tcW w:w="1176" w:type="dxa"/>
            <w:vAlign w:val="bottom"/>
          </w:tcPr>
          <w:p w14:paraId="0409EAF4" w14:textId="3896F522" w:rsidR="00CF00DD" w:rsidRPr="00434574" w:rsidRDefault="00CF00DD" w:rsidP="00CF00DD">
            <w:pPr>
              <w:rPr>
                <w:color w:val="FF0000"/>
                <w:sz w:val="20"/>
                <w:szCs w:val="20"/>
              </w:rPr>
            </w:pPr>
            <w:r>
              <w:rPr>
                <w:rFonts w:ascii="Calibri" w:hAnsi="Calibri"/>
                <w:color w:val="000000"/>
                <w:sz w:val="22"/>
              </w:rPr>
              <w:t>0.0001</w:t>
            </w:r>
          </w:p>
        </w:tc>
        <w:tc>
          <w:tcPr>
            <w:tcW w:w="1701" w:type="dxa"/>
            <w:vAlign w:val="bottom"/>
          </w:tcPr>
          <w:p w14:paraId="5DF8F152" w14:textId="09EC393D" w:rsidR="00CF00DD" w:rsidRPr="00434574" w:rsidRDefault="00CF00DD" w:rsidP="00CF00DD">
            <w:pPr>
              <w:rPr>
                <w:color w:val="FF0000"/>
                <w:sz w:val="20"/>
                <w:szCs w:val="20"/>
              </w:rPr>
            </w:pPr>
            <w:r>
              <w:rPr>
                <w:rFonts w:ascii="Calibri" w:hAnsi="Calibri"/>
                <w:color w:val="000000"/>
                <w:sz w:val="22"/>
              </w:rPr>
              <w:t>1.0007</w:t>
            </w:r>
          </w:p>
        </w:tc>
      </w:tr>
    </w:tbl>
    <w:p w14:paraId="35C77765" w14:textId="77777777" w:rsidR="00483CE8" w:rsidRDefault="00483CE8" w:rsidP="003708EB">
      <w:pPr>
        <w:spacing w:line="360" w:lineRule="auto"/>
        <w:jc w:val="both"/>
        <w:rPr>
          <w:rFonts w:eastAsiaTheme="minorHAnsi" w:cs="Times New Roman"/>
          <w:lang w:eastAsia="en-US"/>
        </w:rPr>
      </w:pPr>
    </w:p>
    <w:p w14:paraId="734337DF" w14:textId="77777777" w:rsidR="00D17909" w:rsidRDefault="00D17909" w:rsidP="003708EB">
      <w:pPr>
        <w:spacing w:line="360" w:lineRule="auto"/>
        <w:jc w:val="both"/>
        <w:rPr>
          <w:rFonts w:eastAsiaTheme="minorHAnsi" w:cs="Times New Roman"/>
          <w:lang w:eastAsia="en-US"/>
        </w:rPr>
      </w:pPr>
      <w:r>
        <w:rPr>
          <w:rFonts w:eastAsiaTheme="minorHAnsi" w:cs="Times New Roman"/>
          <w:lang w:eastAsia="en-US"/>
        </w:rPr>
        <w:t xml:space="preserve">It should be noted that a log link was used in these models. A positive coefficient means the factor has a positive impact on the outcome (i.e. having the factor or positively increase the factor would increase the total cost). The predicted total costs given patient and provider characteristics can be calculated from the models as follow: </w:t>
      </w:r>
    </w:p>
    <w:p w14:paraId="76C7B7F2" w14:textId="77777777" w:rsidR="00D17909" w:rsidRDefault="00D17909" w:rsidP="003708EB">
      <w:pPr>
        <w:spacing w:line="360" w:lineRule="auto"/>
        <w:jc w:val="both"/>
        <w:rPr>
          <w:rFonts w:eastAsiaTheme="minorHAnsi" w:cs="Times New Roman"/>
          <w:lang w:eastAsia="en-US"/>
        </w:rPr>
      </w:pPr>
    </w:p>
    <w:p w14:paraId="70A03841" w14:textId="7F3063CF" w:rsidR="00D17909" w:rsidRDefault="0076676C" w:rsidP="003708EB">
      <w:pPr>
        <w:spacing w:line="360" w:lineRule="auto"/>
        <w:jc w:val="both"/>
        <w:rPr>
          <w:rFonts w:eastAsiaTheme="minorHAnsi" w:cs="Times New Roman"/>
          <w:lang w:eastAsia="en-US"/>
        </w:rPr>
      </w:pPr>
      <m:oMath>
        <m:sSub>
          <m:sSubPr>
            <m:ctrlPr>
              <w:rPr>
                <w:rFonts w:ascii="Cambria Math" w:eastAsiaTheme="minorHAnsi" w:hAnsi="Cambria Math" w:cs="Times New Roman"/>
                <w:i/>
                <w:sz w:val="18"/>
                <w:lang w:eastAsia="en-US"/>
              </w:rPr>
            </m:ctrlPr>
          </m:sSubPr>
          <m:e>
            <m:r>
              <w:rPr>
                <w:rFonts w:ascii="Cambria Math" w:eastAsiaTheme="minorHAnsi" w:hAnsi="Cambria Math" w:cs="Times New Roman"/>
                <w:sz w:val="18"/>
                <w:lang w:eastAsia="en-US"/>
              </w:rPr>
              <m:t>Total Index Episode Costs</m:t>
            </m:r>
          </m:e>
          <m:sub>
            <m:r>
              <w:rPr>
                <w:rFonts w:ascii="Cambria Math" w:eastAsiaTheme="minorHAnsi" w:hAnsi="Cambria Math" w:cs="Times New Roman"/>
                <w:sz w:val="18"/>
                <w:lang w:eastAsia="en-US"/>
              </w:rPr>
              <m:t xml:space="preserve">patient </m:t>
            </m:r>
            <m:d>
              <m:dPr>
                <m:ctrlPr>
                  <w:rPr>
                    <w:rFonts w:ascii="Cambria Math" w:eastAsiaTheme="minorHAnsi" w:hAnsi="Cambria Math" w:cs="Times New Roman"/>
                    <w:i/>
                    <w:sz w:val="18"/>
                    <w:lang w:eastAsia="en-US"/>
                  </w:rPr>
                </m:ctrlPr>
              </m:dPr>
              <m:e>
                <m:r>
                  <w:rPr>
                    <w:rFonts w:ascii="Cambria Math" w:eastAsiaTheme="minorHAnsi" w:hAnsi="Cambria Math" w:cs="Times New Roman"/>
                    <w:sz w:val="18"/>
                    <w:lang w:eastAsia="en-US"/>
                  </w:rPr>
                  <m:t>i</m:t>
                </m:r>
              </m:e>
            </m:d>
            <m:r>
              <w:rPr>
                <w:rFonts w:ascii="Cambria Math" w:eastAsiaTheme="minorHAnsi" w:hAnsi="Cambria Math" w:cs="Times New Roman"/>
                <w:sz w:val="18"/>
                <w:lang w:eastAsia="en-US"/>
              </w:rPr>
              <m:t xml:space="preserve"> </m:t>
            </m:r>
          </m:sub>
        </m:sSub>
        <m:r>
          <w:rPr>
            <w:rFonts w:ascii="Cambria Math" w:eastAsiaTheme="minorHAnsi" w:hAnsi="Cambria Math" w:cs="Times New Roman"/>
            <w:sz w:val="18"/>
            <w:lang w:eastAsia="en-US"/>
          </w:rPr>
          <m:t>=EXP</m:t>
        </m:r>
        <m:d>
          <m:dPr>
            <m:ctrlPr>
              <w:rPr>
                <w:rFonts w:ascii="Cambria Math" w:eastAsiaTheme="minorHAnsi" w:hAnsi="Cambria Math" w:cs="Times New Roman"/>
                <w:i/>
                <w:sz w:val="18"/>
                <w:lang w:eastAsia="en-US"/>
              </w:rPr>
            </m:ctrlPr>
          </m:dPr>
          <m:e>
            <m:r>
              <w:rPr>
                <w:rFonts w:ascii="Cambria Math" w:eastAsiaTheme="minorHAnsi" w:hAnsi="Cambria Math" w:cs="Times New Roman"/>
                <w:sz w:val="18"/>
                <w:lang w:eastAsia="en-US"/>
              </w:rPr>
              <m:t xml:space="preserve">Intercept+ </m:t>
            </m:r>
            <m:nary>
              <m:naryPr>
                <m:chr m:val="∑"/>
                <m:limLoc m:val="undOvr"/>
                <m:ctrlPr>
                  <w:rPr>
                    <w:rFonts w:ascii="Cambria Math" w:eastAsiaTheme="minorHAnsi" w:hAnsi="Cambria Math" w:cs="Times New Roman"/>
                    <w:i/>
                    <w:sz w:val="18"/>
                    <w:lang w:eastAsia="en-US"/>
                  </w:rPr>
                </m:ctrlPr>
              </m:naryPr>
              <m:sub>
                <m:r>
                  <w:rPr>
                    <w:rFonts w:ascii="Cambria Math" w:eastAsiaTheme="minorHAnsi" w:hAnsi="Cambria Math" w:cs="Times New Roman"/>
                    <w:sz w:val="18"/>
                    <w:lang w:eastAsia="en-US"/>
                  </w:rPr>
                  <m:t>n</m:t>
                </m:r>
              </m:sub>
              <m:sup>
                <m:r>
                  <w:rPr>
                    <w:rFonts w:ascii="Cambria Math" w:eastAsiaTheme="minorHAnsi" w:hAnsi="Cambria Math" w:cs="Times New Roman"/>
                    <w:sz w:val="18"/>
                    <w:lang w:eastAsia="en-US"/>
                  </w:rPr>
                  <m:t>k=1</m:t>
                </m:r>
              </m:sup>
              <m:e>
                <m:sSub>
                  <m:sSubPr>
                    <m:ctrlPr>
                      <w:rPr>
                        <w:rFonts w:ascii="Cambria Math" w:eastAsiaTheme="minorHAnsi" w:hAnsi="Cambria Math" w:cs="Times New Roman"/>
                        <w:i/>
                        <w:sz w:val="18"/>
                        <w:lang w:eastAsia="en-US"/>
                      </w:rPr>
                    </m:ctrlPr>
                  </m:sSubPr>
                  <m:e>
                    <m:r>
                      <w:rPr>
                        <w:rFonts w:ascii="Cambria Math" w:eastAsiaTheme="minorHAnsi" w:hAnsi="Cambria Math" w:cs="Times New Roman"/>
                        <w:sz w:val="18"/>
                        <w:lang w:eastAsia="en-US"/>
                      </w:rPr>
                      <m:t>Coeff</m:t>
                    </m:r>
                  </m:e>
                  <m:sub>
                    <m:d>
                      <m:dPr>
                        <m:ctrlPr>
                          <w:rPr>
                            <w:rFonts w:ascii="Cambria Math" w:eastAsiaTheme="minorHAnsi" w:hAnsi="Cambria Math" w:cs="Times New Roman"/>
                            <w:i/>
                            <w:sz w:val="18"/>
                            <w:lang w:eastAsia="en-US"/>
                          </w:rPr>
                        </m:ctrlPr>
                      </m:dPr>
                      <m:e>
                        <m:r>
                          <w:rPr>
                            <w:rFonts w:ascii="Cambria Math" w:eastAsiaTheme="minorHAnsi" w:hAnsi="Cambria Math" w:cs="Times New Roman"/>
                            <w:sz w:val="18"/>
                            <w:lang w:eastAsia="en-US"/>
                          </w:rPr>
                          <m:t>k</m:t>
                        </m:r>
                      </m:e>
                    </m:d>
                  </m:sub>
                </m:sSub>
                <m:r>
                  <w:rPr>
                    <w:rFonts w:ascii="Cambria Math" w:eastAsiaTheme="minorHAnsi" w:hAnsi="Cambria Math" w:cs="Times New Roman"/>
                    <w:sz w:val="18"/>
                    <w:lang w:eastAsia="en-US"/>
                  </w:rPr>
                  <m:t xml:space="preserve">* </m:t>
                </m:r>
              </m:e>
            </m:nary>
            <m:sSubSup>
              <m:sSubSupPr>
                <m:ctrlPr>
                  <w:rPr>
                    <w:rFonts w:ascii="Cambria Math" w:eastAsiaTheme="minorHAnsi" w:hAnsi="Cambria Math" w:cs="Times New Roman"/>
                    <w:i/>
                    <w:sz w:val="18"/>
                    <w:lang w:eastAsia="en-US"/>
                  </w:rPr>
                </m:ctrlPr>
              </m:sSubSupPr>
              <m:e>
                <m:r>
                  <w:rPr>
                    <w:rFonts w:ascii="Cambria Math" w:eastAsiaTheme="minorHAnsi" w:hAnsi="Cambria Math" w:cs="Times New Roman"/>
                    <w:sz w:val="18"/>
                    <w:lang w:eastAsia="en-US"/>
                  </w:rPr>
                  <m:t>Level of characteristic</m:t>
                </m:r>
              </m:e>
              <m:sub>
                <m:d>
                  <m:dPr>
                    <m:ctrlPr>
                      <w:rPr>
                        <w:rFonts w:ascii="Cambria Math" w:eastAsiaTheme="minorHAnsi" w:hAnsi="Cambria Math" w:cs="Times New Roman"/>
                        <w:i/>
                        <w:sz w:val="18"/>
                        <w:lang w:eastAsia="en-US"/>
                      </w:rPr>
                    </m:ctrlPr>
                  </m:dPr>
                  <m:e>
                    <m:r>
                      <w:rPr>
                        <w:rFonts w:ascii="Cambria Math" w:eastAsiaTheme="minorHAnsi" w:hAnsi="Cambria Math" w:cs="Times New Roman"/>
                        <w:sz w:val="18"/>
                        <w:lang w:eastAsia="en-US"/>
                      </w:rPr>
                      <m:t>k</m:t>
                    </m:r>
                  </m:e>
                </m:d>
              </m:sub>
              <m:sup>
                <m:r>
                  <w:rPr>
                    <w:rFonts w:ascii="Cambria Math" w:eastAsiaTheme="minorHAnsi" w:hAnsi="Cambria Math" w:cs="Times New Roman"/>
                    <w:sz w:val="18"/>
                    <w:lang w:eastAsia="en-US"/>
                  </w:rPr>
                  <m:t>patient</m:t>
                </m:r>
                <m:d>
                  <m:dPr>
                    <m:ctrlPr>
                      <w:rPr>
                        <w:rFonts w:ascii="Cambria Math" w:eastAsiaTheme="minorHAnsi" w:hAnsi="Cambria Math" w:cs="Times New Roman"/>
                        <w:i/>
                        <w:sz w:val="18"/>
                        <w:lang w:eastAsia="en-US"/>
                      </w:rPr>
                    </m:ctrlPr>
                  </m:dPr>
                  <m:e>
                    <m:r>
                      <w:rPr>
                        <w:rFonts w:ascii="Cambria Math" w:eastAsiaTheme="minorHAnsi" w:hAnsi="Cambria Math" w:cs="Times New Roman"/>
                        <w:sz w:val="18"/>
                        <w:lang w:eastAsia="en-US"/>
                      </w:rPr>
                      <m:t>i</m:t>
                    </m:r>
                  </m:e>
                </m:d>
              </m:sup>
            </m:sSubSup>
          </m:e>
        </m:d>
      </m:oMath>
      <w:r w:rsidR="00D17909">
        <w:rPr>
          <w:rFonts w:eastAsiaTheme="minorHAnsi" w:cs="Times New Roman"/>
          <w:lang w:eastAsia="en-US"/>
        </w:rPr>
        <w:t xml:space="preserve"> </w:t>
      </w:r>
    </w:p>
    <w:p w14:paraId="19C993C7" w14:textId="77777777" w:rsidR="00D17909" w:rsidRDefault="00D17909" w:rsidP="003708EB">
      <w:pPr>
        <w:spacing w:line="360" w:lineRule="auto"/>
        <w:jc w:val="both"/>
        <w:rPr>
          <w:rFonts w:eastAsiaTheme="minorHAnsi" w:cs="Times New Roman"/>
          <w:lang w:eastAsia="en-US"/>
        </w:rPr>
      </w:pPr>
    </w:p>
    <w:p w14:paraId="32EAC8D0" w14:textId="3033D902" w:rsidR="00F56839" w:rsidRDefault="00F56839" w:rsidP="009C7CF1">
      <w:pPr>
        <w:spacing w:line="360" w:lineRule="auto"/>
        <w:jc w:val="both"/>
        <w:rPr>
          <w:rFonts w:eastAsiaTheme="minorHAnsi" w:cs="Times New Roman"/>
          <w:lang w:eastAsia="en-US"/>
        </w:rPr>
      </w:pPr>
      <w:r>
        <w:rPr>
          <w:rFonts w:eastAsiaTheme="minorHAnsi" w:cs="Times New Roman"/>
          <w:lang w:eastAsia="en-US"/>
        </w:rPr>
        <w:t>For example, for a ruptured</w:t>
      </w:r>
      <w:r w:rsidR="00CF00DD">
        <w:rPr>
          <w:rFonts w:eastAsiaTheme="minorHAnsi" w:cs="Times New Roman"/>
          <w:lang w:eastAsia="en-US"/>
        </w:rPr>
        <w:t xml:space="preserve"> </w:t>
      </w:r>
      <w:r>
        <w:rPr>
          <w:rFonts w:eastAsiaTheme="minorHAnsi" w:cs="Times New Roman"/>
          <w:lang w:eastAsia="en-US"/>
        </w:rPr>
        <w:t xml:space="preserve"> AAA patient 74 years old with an IMD score of 20, no comorbidity, received an Open Repair in 200809 from a vascular centre which had an annual</w:t>
      </w:r>
      <w:r w:rsidR="00CF00DD">
        <w:rPr>
          <w:rFonts w:eastAsiaTheme="minorHAnsi" w:cs="Times New Roman"/>
          <w:lang w:eastAsia="en-US"/>
        </w:rPr>
        <w:t xml:space="preserve"> AAA volume of 6</w:t>
      </w:r>
      <w:r>
        <w:rPr>
          <w:rFonts w:eastAsiaTheme="minorHAnsi" w:cs="Times New Roman"/>
          <w:lang w:eastAsia="en-US"/>
        </w:rPr>
        <w:t>0 and MFF index of 1, and the patient did not die within the admission; the predicted total costs</w:t>
      </w:r>
      <w:r w:rsidR="00CF00DD">
        <w:rPr>
          <w:rFonts w:eastAsiaTheme="minorHAnsi" w:cs="Times New Roman"/>
          <w:lang w:eastAsia="en-US"/>
        </w:rPr>
        <w:t xml:space="preserve"> of the index episode</w:t>
      </w:r>
      <w:r>
        <w:rPr>
          <w:rFonts w:eastAsiaTheme="minorHAnsi" w:cs="Times New Roman"/>
          <w:lang w:eastAsia="en-US"/>
        </w:rPr>
        <w:t xml:space="preserve"> for this patient is</w:t>
      </w:r>
      <w:r w:rsidR="00CF00DD">
        <w:rPr>
          <w:rFonts w:eastAsiaTheme="minorHAnsi" w:cs="Times New Roman"/>
          <w:lang w:eastAsia="en-US"/>
        </w:rPr>
        <w:t xml:space="preserve"> </w:t>
      </w:r>
      <w:r>
        <w:rPr>
          <w:rFonts w:eastAsiaTheme="minorHAnsi" w:cs="Times New Roman"/>
          <w:lang w:eastAsia="en-US"/>
        </w:rPr>
        <w:t xml:space="preserve"> £</w:t>
      </w:r>
      <w:r w:rsidR="00CF00DD" w:rsidRPr="00CF00DD">
        <w:rPr>
          <w:rFonts w:eastAsiaTheme="minorHAnsi" w:cs="Times New Roman"/>
          <w:lang w:eastAsia="en-US"/>
        </w:rPr>
        <w:t xml:space="preserve"> £9,374.42 </w:t>
      </w:r>
      <w:r>
        <w:rPr>
          <w:rFonts w:eastAsiaTheme="minorHAnsi" w:cs="Times New Roman"/>
          <w:lang w:eastAsia="en-US"/>
        </w:rPr>
        <w:t>in 2014/15 price.</w:t>
      </w:r>
    </w:p>
    <w:p w14:paraId="41CF3035" w14:textId="77777777" w:rsidR="00F56839" w:rsidRDefault="00F56839" w:rsidP="009C7CF1">
      <w:pPr>
        <w:spacing w:line="360" w:lineRule="auto"/>
        <w:jc w:val="both"/>
        <w:rPr>
          <w:rFonts w:eastAsiaTheme="minorHAnsi" w:cs="Times New Roman"/>
          <w:lang w:eastAsia="en-US"/>
        </w:rPr>
      </w:pPr>
    </w:p>
    <w:p w14:paraId="04419428" w14:textId="52CEEDF4" w:rsidR="00F56839" w:rsidRDefault="00F56839" w:rsidP="009C7CF1">
      <w:pPr>
        <w:spacing w:line="360" w:lineRule="auto"/>
        <w:jc w:val="both"/>
        <w:rPr>
          <w:rFonts w:eastAsiaTheme="minorHAnsi" w:cs="Times New Roman"/>
          <w:lang w:eastAsia="en-US"/>
        </w:rPr>
      </w:pPr>
      <w:r>
        <w:rPr>
          <w:rFonts w:eastAsiaTheme="minorHAnsi" w:cs="Times New Roman"/>
          <w:lang w:eastAsia="en-US"/>
        </w:rPr>
        <w:t>T</w:t>
      </w:r>
      <w:r w:rsidR="00D17909">
        <w:rPr>
          <w:rFonts w:eastAsiaTheme="minorHAnsi" w:cs="Times New Roman"/>
          <w:lang w:eastAsia="en-US"/>
        </w:rPr>
        <w:t>o give the model results a more meaningful interpretation, we can look at the exponential of the coefficients. These give us an idea of the magnitude of the effect of a factor.</w:t>
      </w:r>
      <w:r>
        <w:rPr>
          <w:rFonts w:eastAsiaTheme="minorHAnsi" w:cs="Times New Roman"/>
          <w:lang w:eastAsia="en-US"/>
        </w:rPr>
        <w:t xml:space="preserve"> For example, taking a look at the model for ruptured cases, the coefficient</w:t>
      </w:r>
      <w:r w:rsidR="00CF00DD">
        <w:rPr>
          <w:rFonts w:eastAsiaTheme="minorHAnsi" w:cs="Times New Roman"/>
          <w:lang w:eastAsia="en-US"/>
        </w:rPr>
        <w:t xml:space="preserve"> for in-hospital death is -0.154</w:t>
      </w:r>
      <w:r>
        <w:rPr>
          <w:rFonts w:eastAsiaTheme="minorHAnsi" w:cs="Times New Roman"/>
          <w:lang w:eastAsia="en-US"/>
        </w:rPr>
        <w:t xml:space="preserve">1. </w:t>
      </w:r>
      <w:r>
        <w:rPr>
          <w:rFonts w:eastAsiaTheme="minorHAnsi" w:cs="Times New Roman"/>
          <w:lang w:eastAsia="en-US"/>
        </w:rPr>
        <w:lastRenderedPageBreak/>
        <w:t>T</w:t>
      </w:r>
      <w:r w:rsidR="00CF00DD">
        <w:rPr>
          <w:rFonts w:eastAsiaTheme="minorHAnsi" w:cs="Times New Roman"/>
          <w:lang w:eastAsia="en-US"/>
        </w:rPr>
        <w:t>he exponential of this is 0.857</w:t>
      </w:r>
      <w:r>
        <w:rPr>
          <w:rFonts w:eastAsiaTheme="minorHAnsi" w:cs="Times New Roman"/>
          <w:lang w:eastAsia="en-US"/>
        </w:rPr>
        <w:t>. This means if a patient died in hospital, the total costs woul</w:t>
      </w:r>
      <w:r w:rsidR="00CF00DD">
        <w:rPr>
          <w:rFonts w:eastAsiaTheme="minorHAnsi" w:cs="Times New Roman"/>
          <w:lang w:eastAsia="en-US"/>
        </w:rPr>
        <w:t>d decrease by a factor of 0.857</w:t>
      </w:r>
      <w:r>
        <w:rPr>
          <w:rFonts w:eastAsiaTheme="minorHAnsi" w:cs="Times New Roman"/>
          <w:lang w:eastAsia="en-US"/>
        </w:rPr>
        <w:t xml:space="preserve"> compared to the scenario if the patient did not die. </w:t>
      </w:r>
    </w:p>
    <w:p w14:paraId="37AEA76D" w14:textId="21862D89" w:rsidR="00F56839" w:rsidRDefault="00F56839" w:rsidP="009C7CF1">
      <w:pPr>
        <w:spacing w:line="360" w:lineRule="auto"/>
        <w:jc w:val="both"/>
        <w:rPr>
          <w:rFonts w:eastAsiaTheme="minorHAnsi" w:cs="Times New Roman"/>
          <w:lang w:eastAsia="en-US"/>
        </w:rPr>
      </w:pPr>
    </w:p>
    <w:p w14:paraId="0979B450" w14:textId="77777777" w:rsidR="00EC6B02" w:rsidRDefault="00F56839" w:rsidP="00EC6B02">
      <w:pPr>
        <w:spacing w:line="360" w:lineRule="auto"/>
        <w:jc w:val="both"/>
        <w:rPr>
          <w:rFonts w:eastAsiaTheme="minorHAnsi" w:cs="Times New Roman"/>
          <w:color w:val="FF0000"/>
          <w:lang w:eastAsia="en-US"/>
        </w:rPr>
      </w:pPr>
      <w:r w:rsidRPr="00E235EF">
        <w:rPr>
          <w:rFonts w:eastAsiaTheme="minorHAnsi" w:cs="Times New Roman"/>
          <w:color w:val="FF0000"/>
          <w:lang w:eastAsia="en-US"/>
        </w:rPr>
        <w:t>As can be seen, the effect of volume is significantly positive in all models.</w:t>
      </w:r>
      <w:r w:rsidR="00E235EF" w:rsidRPr="00E235EF">
        <w:rPr>
          <w:rFonts w:eastAsiaTheme="minorHAnsi" w:cs="Times New Roman"/>
          <w:color w:val="FF0000"/>
          <w:lang w:eastAsia="en-US"/>
        </w:rPr>
        <w:t xml:space="preserve"> This means higher volume centres are associated with higher costs in all cases after controlling for other case-mix factors.  </w:t>
      </w:r>
    </w:p>
    <w:p w14:paraId="34BF3629" w14:textId="09FE5AB2" w:rsidR="00222F0F" w:rsidRDefault="00BC7E9F" w:rsidP="00BC7E9F">
      <w:pPr>
        <w:pStyle w:val="Heading1"/>
        <w:numPr>
          <w:ilvl w:val="0"/>
          <w:numId w:val="0"/>
        </w:numPr>
        <w:ind w:left="432" w:hanging="432"/>
        <w:rPr>
          <w:lang w:eastAsia="en-US"/>
        </w:rPr>
      </w:pPr>
      <w:r>
        <w:rPr>
          <w:lang w:eastAsia="en-US"/>
        </w:rPr>
        <w:t>Discussion</w:t>
      </w:r>
    </w:p>
    <w:p w14:paraId="05902D7D" w14:textId="11D08303" w:rsidR="007D4850" w:rsidRDefault="007D4850" w:rsidP="007D4850">
      <w:pPr>
        <w:spacing w:line="360" w:lineRule="auto"/>
        <w:jc w:val="both"/>
      </w:pPr>
      <w:r>
        <w:t>This study represents the first study in England to use the HES data to estimate t</w:t>
      </w:r>
      <w:r w:rsidR="00E235EF">
        <w:t>he hospital costs of the index episode for</w:t>
      </w:r>
      <w:r>
        <w:t xml:space="preserve"> AAA repair</w:t>
      </w:r>
      <w:r w:rsidR="00E235EF">
        <w:t>s</w:t>
      </w:r>
      <w:r>
        <w:t xml:space="preserve">. It used individual patient data on </w:t>
      </w:r>
      <w:r w:rsidR="00E235EF">
        <w:rPr>
          <w:rFonts w:cs="Times New Roman"/>
        </w:rPr>
        <w:t>42</w:t>
      </w:r>
      <w:r w:rsidR="00E235EF" w:rsidRPr="008E3341">
        <w:rPr>
          <w:rFonts w:cs="Times New Roman"/>
        </w:rPr>
        <w:t>,</w:t>
      </w:r>
      <w:r w:rsidR="00E235EF">
        <w:rPr>
          <w:rFonts w:cs="Times New Roman"/>
        </w:rPr>
        <w:t>960</w:t>
      </w:r>
      <w:r w:rsidR="00E235EF" w:rsidRPr="008E3341">
        <w:rPr>
          <w:rFonts w:cs="Times New Roman"/>
        </w:rPr>
        <w:t xml:space="preserve"> </w:t>
      </w:r>
      <w:r w:rsidR="00E235EF">
        <w:t>AAA patients treated in</w:t>
      </w:r>
      <w:r w:rsidR="004100C3">
        <w:t xml:space="preserve"> 188</w:t>
      </w:r>
      <w:r w:rsidR="00E235EF">
        <w:t xml:space="preserve"> </w:t>
      </w:r>
      <w:r>
        <w:t>hospitals across England</w:t>
      </w:r>
      <w:r w:rsidR="00E235EF">
        <w:t xml:space="preserve"> between </w:t>
      </w:r>
      <w:r w:rsidR="00E235EF" w:rsidRPr="008E3341">
        <w:rPr>
          <w:rFonts w:cs="Times New Roman"/>
        </w:rPr>
        <w:t>1</w:t>
      </w:r>
      <w:r w:rsidR="00E235EF" w:rsidRPr="008E3341">
        <w:rPr>
          <w:rFonts w:cs="Times New Roman"/>
          <w:vertAlign w:val="superscript"/>
        </w:rPr>
        <w:t>st</w:t>
      </w:r>
      <w:r w:rsidR="00E235EF" w:rsidRPr="008E3341">
        <w:rPr>
          <w:rFonts w:cs="Times New Roman"/>
        </w:rPr>
        <w:t xml:space="preserve"> Apr 2008 and 28</w:t>
      </w:r>
      <w:r w:rsidR="00E235EF" w:rsidRPr="008E3341">
        <w:rPr>
          <w:rFonts w:cs="Times New Roman"/>
          <w:vertAlign w:val="superscript"/>
        </w:rPr>
        <w:t>th</w:t>
      </w:r>
      <w:r w:rsidR="00E235EF" w:rsidRPr="008E3341">
        <w:rPr>
          <w:rFonts w:cs="Times New Roman"/>
        </w:rPr>
        <w:t xml:space="preserve"> Feb 2015</w:t>
      </w:r>
      <w:r>
        <w:t xml:space="preserve"> to examine the variation of costs by patient and provider characteristics. Mean</w:t>
      </w:r>
      <w:r w:rsidR="004100C3">
        <w:t xml:space="preserve"> total </w:t>
      </w:r>
      <w:r>
        <w:t>costs</w:t>
      </w:r>
      <w:r w:rsidR="009A29DE">
        <w:t xml:space="preserve"> (in 2014/15 price)</w:t>
      </w:r>
      <w:r>
        <w:t xml:space="preserve"> </w:t>
      </w:r>
      <w:r w:rsidR="004100C3">
        <w:t xml:space="preserve">for ruptured, non-ruptured emergency, elective open repair, and elective EVAR were £14779.3, £12235.8, £10607.4, and </w:t>
      </w:r>
      <w:r w:rsidR="007A2218">
        <w:t>£</w:t>
      </w:r>
      <w:r w:rsidR="004100C3">
        <w:t>10616.8 respectively.</w:t>
      </w:r>
      <w:r w:rsidR="009A29DE">
        <w:t xml:space="preserve"> Costs varied</w:t>
      </w:r>
      <w:r>
        <w:t xml:space="preserve"> with certain patient</w:t>
      </w:r>
      <w:r w:rsidR="00632C5E">
        <w:t xml:space="preserve">, </w:t>
      </w:r>
      <w:r w:rsidR="009A29DE">
        <w:t>provider</w:t>
      </w:r>
      <w:r>
        <w:t xml:space="preserve"> characteristics</w:t>
      </w:r>
      <w:r w:rsidR="00632C5E">
        <w:t xml:space="preserve">, and </w:t>
      </w:r>
      <w:proofErr w:type="spellStart"/>
      <w:r w:rsidR="00632C5E">
        <w:t>hesyear</w:t>
      </w:r>
      <w:proofErr w:type="spellEnd"/>
      <w:r w:rsidR="009A29DE">
        <w:t xml:space="preserve"> as shown in descriptive univariate analyses above. </w:t>
      </w:r>
      <w:r w:rsidR="00211D41">
        <w:t>We found two provider characteristics that had significantly positive effects on the total costs</w:t>
      </w:r>
      <w:r w:rsidR="00632C5E">
        <w:t xml:space="preserve"> after controlling for other case-mix factors</w:t>
      </w:r>
      <w:r w:rsidR="00211D41">
        <w:t xml:space="preserve">: the annual elective volume and the market forces factor index. Higher volume centres were associated with higher costs and higher level of unavoidable costs for a location (reflected by the MFF index) were also associated with higher costs. This certainly has </w:t>
      </w:r>
      <w:r w:rsidR="00AA5E18">
        <w:t>important implications for cost-effectiveness modelling to evaluate services reconfiguration options. On the one hand, we know that merging small units with bigger ones would improve outcomes such as in-hospital mort</w:t>
      </w:r>
      <w:r w:rsidR="00CF00DD">
        <w:t>ality</w:t>
      </w:r>
      <w:r w:rsidR="00AA5E18">
        <w:t xml:space="preserve">. On the other hand, with the new findings from this study, merging small units with bigger ones would also increase costs significantly. Thus, it is important to properly model these two aspects of changes (outcomes and costs) to evaluate different services reconfigurations. </w:t>
      </w:r>
      <w:r w:rsidR="00211D41">
        <w:t xml:space="preserve"> </w:t>
      </w:r>
    </w:p>
    <w:p w14:paraId="1C7911DE" w14:textId="77777777" w:rsidR="007D4850" w:rsidRDefault="007D4850" w:rsidP="007D4850">
      <w:pPr>
        <w:spacing w:line="360" w:lineRule="auto"/>
        <w:jc w:val="both"/>
      </w:pPr>
    </w:p>
    <w:p w14:paraId="072DD527" w14:textId="6A74C667" w:rsidR="007D4850" w:rsidRDefault="007D4850" w:rsidP="007D4850">
      <w:pPr>
        <w:spacing w:line="360" w:lineRule="auto"/>
        <w:jc w:val="both"/>
      </w:pPr>
      <w:r>
        <w:t xml:space="preserve">The large sample size of AAA patients and the broad range of information captured from the HES data allowed us to account for a wide range of covariates on the costs in the regression models. This type of analysis is only possible with the use of routine datasets as the traditional study designs (such as randomised controlled trials) are much smaller in size. Also, given the aim is to estimate the costs for use in economic models, the worked examples estimating the costs are presented in </w:t>
      </w:r>
      <w:r w:rsidR="00A53333">
        <w:t>Chapter 6</w:t>
      </w:r>
      <w:bookmarkStart w:id="0" w:name="_GoBack"/>
      <w:bookmarkEnd w:id="0"/>
      <w:r>
        <w:t xml:space="preserve">. Furthermore, these equations were converted into online tools </w:t>
      </w:r>
      <w:r>
        <w:lastRenderedPageBreak/>
        <w:t xml:space="preserve">(using the R/Shiny software – see xxx) where the users can input patient and provider characteristics to estimate the costs for specific AAA procedures. </w:t>
      </w:r>
    </w:p>
    <w:p w14:paraId="24392CD7" w14:textId="77777777" w:rsidR="007D4850" w:rsidRDefault="007D4850" w:rsidP="007D4850">
      <w:pPr>
        <w:spacing w:line="360" w:lineRule="auto"/>
        <w:jc w:val="both"/>
      </w:pPr>
    </w:p>
    <w:p w14:paraId="1F0B82F7" w14:textId="77777777" w:rsidR="002278A4" w:rsidRDefault="007D4850" w:rsidP="007D4850">
      <w:pPr>
        <w:spacing w:line="360" w:lineRule="auto"/>
        <w:jc w:val="both"/>
      </w:pPr>
      <w:r>
        <w:t>However, there are some limitations associated with our study. There were missing fields</w:t>
      </w:r>
      <w:r w:rsidR="00AA5E18">
        <w:t xml:space="preserve"> and coding changes </w:t>
      </w:r>
      <w:r>
        <w:t>in the HES data</w:t>
      </w:r>
      <w:r w:rsidR="00AA5E18">
        <w:t xml:space="preserve"> across the years that made it challenging to generate</w:t>
      </w:r>
      <w:r>
        <w:t xml:space="preserve"> the HRG code</w:t>
      </w:r>
      <w:r w:rsidR="00AA5E18">
        <w:t>s for the episodes and match them with relevant unit costs</w:t>
      </w:r>
      <w:r>
        <w:t>.</w:t>
      </w:r>
      <w:r w:rsidR="002278A4">
        <w:t xml:space="preserve"> Nonetheless, thanks to the use of year-specific HRG grouping and year-specific reference cost datasets, the proportion of records that could not be grouped or costed was small. We also attempted to impute the missing data with minimum amount of assumptions. T</w:t>
      </w:r>
      <w:r>
        <w:t xml:space="preserve">here seems no bias in using the results from analyses based on the imputed data as they were similar to those in the complete-case analyses. </w:t>
      </w:r>
    </w:p>
    <w:p w14:paraId="6F78C79F" w14:textId="77777777" w:rsidR="002278A4" w:rsidRDefault="002278A4" w:rsidP="007D4850">
      <w:pPr>
        <w:spacing w:line="360" w:lineRule="auto"/>
        <w:jc w:val="both"/>
      </w:pPr>
    </w:p>
    <w:p w14:paraId="15654BC1" w14:textId="3216AFEA" w:rsidR="007D4850" w:rsidRDefault="007D4850" w:rsidP="007D4850">
      <w:pPr>
        <w:spacing w:line="360" w:lineRule="auto"/>
        <w:jc w:val="both"/>
      </w:pPr>
      <w:r>
        <w:t xml:space="preserve">Whilst this study is quite comprehensive in estimating detailed individual costs and analysing the costs against a range of patient and provider covariates, it is possible that all the relevant factors were not included. Similarly, there could be other patient factors that were not present in the HES data that could have an impact on the costs. Also, provider factors such as surgeon-specific volume and the teaching status could have an impact on costs and could be considered as covariates in the regression models. </w:t>
      </w:r>
    </w:p>
    <w:p w14:paraId="2B675FBA" w14:textId="77777777" w:rsidR="00724F1E" w:rsidRPr="005F7D05" w:rsidRDefault="00724F1E" w:rsidP="007D4850">
      <w:pPr>
        <w:spacing w:line="360" w:lineRule="auto"/>
        <w:jc w:val="both"/>
      </w:pPr>
    </w:p>
    <w:p w14:paraId="6A17EEEC" w14:textId="3118A239" w:rsidR="007D4850" w:rsidRDefault="007D4850" w:rsidP="007D4850">
      <w:pPr>
        <w:spacing w:line="360" w:lineRule="auto"/>
        <w:jc w:val="both"/>
      </w:pPr>
      <w:r>
        <w:t xml:space="preserve">The potential for the use of routine data to estimate costs is recognised and there have been many similar studies in other disease areas. This study encountered similar challenges to those studies in terms of dealing with missing data and issues with HRG grouper software; and the methods used statistical analyses are broadly similar. More detailed costing estimates such as this study can help understand the effect of patient and provider characteristics on </w:t>
      </w:r>
      <w:r w:rsidR="00A53333">
        <w:t>costs and</w:t>
      </w:r>
      <w:r>
        <w:t xml:space="preserve"> help improve the accuracy of economic models. </w:t>
      </w:r>
    </w:p>
    <w:p w14:paraId="15CB3802" w14:textId="32251522" w:rsidR="00842172" w:rsidRDefault="00842172" w:rsidP="007D4850">
      <w:pPr>
        <w:spacing w:line="360" w:lineRule="auto"/>
        <w:jc w:val="both"/>
      </w:pPr>
    </w:p>
    <w:p w14:paraId="566326A0" w14:textId="77777777" w:rsidR="00EC6B02" w:rsidRDefault="00EC6B02">
      <w:pPr>
        <w:spacing w:after="160" w:line="259" w:lineRule="auto"/>
      </w:pPr>
      <w:r>
        <w:br w:type="page"/>
      </w:r>
    </w:p>
    <w:p w14:paraId="53A89609" w14:textId="1BA9A672" w:rsidR="00842172" w:rsidRPr="00BC7E9F" w:rsidRDefault="00842172" w:rsidP="007D4850">
      <w:pPr>
        <w:spacing w:line="360" w:lineRule="auto"/>
        <w:jc w:val="both"/>
        <w:rPr>
          <w:b/>
          <w:bCs/>
        </w:rPr>
      </w:pPr>
      <w:r w:rsidRPr="00BC7E9F">
        <w:rPr>
          <w:b/>
          <w:bCs/>
        </w:rPr>
        <w:lastRenderedPageBreak/>
        <w:t>References</w:t>
      </w:r>
    </w:p>
    <w:p w14:paraId="33D03111" w14:textId="0593BCB2" w:rsidR="00842172" w:rsidRDefault="00842172" w:rsidP="00842172">
      <w:pPr>
        <w:pStyle w:val="ListParagraph"/>
        <w:numPr>
          <w:ilvl w:val="0"/>
          <w:numId w:val="44"/>
        </w:numPr>
        <w:contextualSpacing w:val="0"/>
      </w:pPr>
      <w:r w:rsidRPr="00A042A8">
        <w:t xml:space="preserve">Health and Social Care Information Centre, NHS Digital. Admitted Patient Care Data Quality Note. </w:t>
      </w:r>
      <w:r>
        <w:t xml:space="preserve">(HES 2014-2015 Annual Refresh). </w:t>
      </w:r>
      <w:hyperlink r:id="rId41" w:history="1">
        <w:r w:rsidRPr="00B50683">
          <w:rPr>
            <w:rStyle w:val="Hyperlink"/>
          </w:rPr>
          <w:t>http://content.digital.nhs.uk/catalogue/PUB19124/hosp-epis-stat-admi-dq-note-2014-15-rep.pdf</w:t>
        </w:r>
      </w:hyperlink>
      <w:r w:rsidRPr="00A042A8">
        <w:t xml:space="preserve"> (Accessed 20 August 2017)</w:t>
      </w:r>
    </w:p>
    <w:p w14:paraId="09883121" w14:textId="77777777" w:rsidR="00842172" w:rsidRDefault="00842172" w:rsidP="00842172">
      <w:pPr>
        <w:pStyle w:val="ListParagraph"/>
        <w:numPr>
          <w:ilvl w:val="0"/>
          <w:numId w:val="44"/>
        </w:numPr>
        <w:contextualSpacing w:val="0"/>
      </w:pPr>
      <w:r w:rsidRPr="00A042A8">
        <w:t xml:space="preserve">The Information Centre, Department of Health (December 2003). Hospital Episode Statistics, Admitted Patient Care – England 2002-2003, Headline Figures. </w:t>
      </w:r>
      <w:hyperlink r:id="rId42" w:history="1">
        <w:r w:rsidRPr="00A042A8">
          <w:rPr>
            <w:rStyle w:val="Hyperlink"/>
          </w:rPr>
          <w:t>http://content.digital.nhs.uk/catalogue/PUB03906/hosp-epis-stat-admi-head-figs-02-03-rep.pdf</w:t>
        </w:r>
      </w:hyperlink>
      <w:r w:rsidRPr="00A042A8">
        <w:t xml:space="preserve"> (Accessed 20 August 2017)  </w:t>
      </w:r>
    </w:p>
    <w:p w14:paraId="423607B0" w14:textId="77777777" w:rsidR="00842172" w:rsidRDefault="00842172" w:rsidP="00842172">
      <w:pPr>
        <w:pStyle w:val="ListParagraph"/>
        <w:numPr>
          <w:ilvl w:val="0"/>
          <w:numId w:val="44"/>
        </w:numPr>
        <w:contextualSpacing w:val="0"/>
      </w:pPr>
      <w:r w:rsidRPr="00A042A8">
        <w:t xml:space="preserve">Lakhani A, Coles J, </w:t>
      </w:r>
      <w:proofErr w:type="spellStart"/>
      <w:r w:rsidRPr="00A042A8">
        <w:t>Eayres</w:t>
      </w:r>
      <w:proofErr w:type="spellEnd"/>
      <w:r w:rsidRPr="00A042A8">
        <w:t xml:space="preserve"> D, Spence C, Sanderson C. Creative use of existing clinical and health outcomes data to assess NHS performance in England: part 2--more challenging aspects of monitoring. BMJ. 2005 Jun 25;330(7506):1486-92. </w:t>
      </w:r>
    </w:p>
    <w:p w14:paraId="3396A897" w14:textId="6DAF2A54" w:rsidR="00842172" w:rsidRDefault="00842172" w:rsidP="00842172">
      <w:pPr>
        <w:pStyle w:val="ListParagraph"/>
        <w:numPr>
          <w:ilvl w:val="0"/>
          <w:numId w:val="44"/>
        </w:numPr>
        <w:contextualSpacing w:val="0"/>
      </w:pPr>
      <w:r w:rsidRPr="00A042A8">
        <w:t xml:space="preserve">Holt PJ, </w:t>
      </w:r>
      <w:proofErr w:type="spellStart"/>
      <w:r w:rsidRPr="00A042A8">
        <w:t>Poloniecki</w:t>
      </w:r>
      <w:proofErr w:type="spellEnd"/>
      <w:r w:rsidRPr="00A042A8">
        <w:t xml:space="preserve"> JD, Thompson MM. Multicentre study of the quality of a large administrative data set and implications for comparing death rates. Br J Surg. 2012 Jan;99(1):58-65.</w:t>
      </w:r>
    </w:p>
    <w:p w14:paraId="73F7C41C" w14:textId="2646F614" w:rsidR="00757FAA" w:rsidRDefault="00757FAA" w:rsidP="00757FAA">
      <w:pPr>
        <w:pStyle w:val="ListParagraph"/>
        <w:numPr>
          <w:ilvl w:val="0"/>
          <w:numId w:val="44"/>
        </w:numPr>
        <w:contextualSpacing w:val="0"/>
      </w:pPr>
      <w:r w:rsidRPr="00757FAA">
        <w:t>A guide to the market force factor 2014/15, NHS England</w:t>
      </w:r>
      <w:r>
        <w:t xml:space="preserve"> </w:t>
      </w:r>
      <w:r w:rsidRPr="00757FAA">
        <w:t>https://assets.publishing.service.gov.uk/government/uploads/system/uploads/attachment_data/file/300859/A_guide_to_the_Market_Forces_Factor.pdf</w:t>
      </w:r>
    </w:p>
    <w:p w14:paraId="73DBCB0F" w14:textId="77777777" w:rsidR="007D4850" w:rsidRPr="007D4850" w:rsidRDefault="007D4850" w:rsidP="007D4850">
      <w:pPr>
        <w:rPr>
          <w:rFonts w:eastAsiaTheme="minorHAnsi" w:cs="Times New Roman"/>
          <w:lang w:eastAsia="en-US"/>
        </w:rPr>
      </w:pPr>
    </w:p>
    <w:sectPr w:rsidR="007D4850" w:rsidRPr="007D4850" w:rsidSect="001D179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60DAC" w14:textId="77777777" w:rsidR="0076676C" w:rsidRDefault="0076676C" w:rsidP="00222F0F">
      <w:pPr>
        <w:spacing w:line="240" w:lineRule="auto"/>
      </w:pPr>
      <w:r>
        <w:separator/>
      </w:r>
    </w:p>
  </w:endnote>
  <w:endnote w:type="continuationSeparator" w:id="0">
    <w:p w14:paraId="428CB3DA" w14:textId="77777777" w:rsidR="0076676C" w:rsidRDefault="0076676C" w:rsidP="00222F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Arial"/>
    <w:panose1 w:val="020B0604020202020204"/>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7585847"/>
      <w:docPartObj>
        <w:docPartGallery w:val="Page Numbers (Bottom of Page)"/>
        <w:docPartUnique/>
      </w:docPartObj>
    </w:sdtPr>
    <w:sdtEndPr>
      <w:rPr>
        <w:noProof/>
      </w:rPr>
    </w:sdtEndPr>
    <w:sdtContent>
      <w:p w14:paraId="32F3B4CB" w14:textId="65BC2C9C" w:rsidR="00595304" w:rsidRDefault="00595304">
        <w:pPr>
          <w:pStyle w:val="Footer"/>
          <w:jc w:val="right"/>
        </w:pPr>
        <w:r>
          <w:fldChar w:fldCharType="begin"/>
        </w:r>
        <w:r>
          <w:instrText xml:space="preserve"> PAGE   \* MERGEFORMAT </w:instrText>
        </w:r>
        <w:r>
          <w:fldChar w:fldCharType="separate"/>
        </w:r>
        <w:r w:rsidR="002C1649">
          <w:rPr>
            <w:noProof/>
          </w:rPr>
          <w:t>20</w:t>
        </w:r>
        <w:r>
          <w:rPr>
            <w:noProof/>
          </w:rPr>
          <w:fldChar w:fldCharType="end"/>
        </w:r>
      </w:p>
    </w:sdtContent>
  </w:sdt>
  <w:p w14:paraId="4EBD2BF1" w14:textId="77777777" w:rsidR="00595304" w:rsidRDefault="00595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6AFA4" w14:textId="77777777" w:rsidR="0076676C" w:rsidRDefault="0076676C" w:rsidP="00222F0F">
      <w:pPr>
        <w:spacing w:line="240" w:lineRule="auto"/>
      </w:pPr>
      <w:r>
        <w:separator/>
      </w:r>
    </w:p>
  </w:footnote>
  <w:footnote w:type="continuationSeparator" w:id="0">
    <w:p w14:paraId="74224CA1" w14:textId="77777777" w:rsidR="0076676C" w:rsidRDefault="0076676C" w:rsidP="00222F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90851"/>
    <w:multiLevelType w:val="hybridMultilevel"/>
    <w:tmpl w:val="8AF2F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D5C97"/>
    <w:multiLevelType w:val="multilevel"/>
    <w:tmpl w:val="CD8E71C6"/>
    <w:lvl w:ilvl="0">
      <w:start w:val="1"/>
      <w:numFmt w:val="decimal"/>
      <w:pStyle w:val="Heading1"/>
      <w:lvlText w:val="CHAPTER %1."/>
      <w:lvlJc w:val="left"/>
      <w:pPr>
        <w:ind w:left="432" w:hanging="432"/>
      </w:pPr>
      <w:rPr>
        <w:rFonts w:hint="default"/>
        <w:sz w:val="32"/>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D232F00"/>
    <w:multiLevelType w:val="hybridMultilevel"/>
    <w:tmpl w:val="A0428D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6D2AD7"/>
    <w:multiLevelType w:val="hybridMultilevel"/>
    <w:tmpl w:val="764A70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434C1"/>
    <w:multiLevelType w:val="hybridMultilevel"/>
    <w:tmpl w:val="24901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F333D1"/>
    <w:multiLevelType w:val="hybridMultilevel"/>
    <w:tmpl w:val="2F542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986A9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4005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9321CB"/>
    <w:multiLevelType w:val="hybridMultilevel"/>
    <w:tmpl w:val="4FEEA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832077"/>
    <w:multiLevelType w:val="hybridMultilevel"/>
    <w:tmpl w:val="770EE65C"/>
    <w:lvl w:ilvl="0" w:tplc="1DACD2C6">
      <w:numFmt w:val="bullet"/>
      <w:lvlText w:val=""/>
      <w:lvlJc w:val="left"/>
      <w:pPr>
        <w:ind w:left="720" w:hanging="360"/>
      </w:pPr>
      <w:rPr>
        <w:rFonts w:ascii="Symbol" w:eastAsiaTheme="minorHAns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BE3EB6"/>
    <w:multiLevelType w:val="hybridMultilevel"/>
    <w:tmpl w:val="24506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5722EE"/>
    <w:multiLevelType w:val="hybridMultilevel"/>
    <w:tmpl w:val="A6520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9097B"/>
    <w:multiLevelType w:val="hybridMultilevel"/>
    <w:tmpl w:val="C9182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207C88"/>
    <w:multiLevelType w:val="hybridMultilevel"/>
    <w:tmpl w:val="82D0F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82517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2C2B8D"/>
    <w:multiLevelType w:val="hybridMultilevel"/>
    <w:tmpl w:val="D14A7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B15F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2670F8"/>
    <w:multiLevelType w:val="hybridMultilevel"/>
    <w:tmpl w:val="306C1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E530CA"/>
    <w:multiLevelType w:val="hybridMultilevel"/>
    <w:tmpl w:val="C1D21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50307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2065A8"/>
    <w:multiLevelType w:val="multilevel"/>
    <w:tmpl w:val="0F08E8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A707459"/>
    <w:multiLevelType w:val="hybridMultilevel"/>
    <w:tmpl w:val="8772B596"/>
    <w:lvl w:ilvl="0" w:tplc="E9FC2F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8C29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D632698"/>
    <w:multiLevelType w:val="hybridMultilevel"/>
    <w:tmpl w:val="B0C60EDE"/>
    <w:lvl w:ilvl="0" w:tplc="1DACD2C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C96FE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5957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1506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1724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DC33FF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D840A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12511AA"/>
    <w:multiLevelType w:val="hybridMultilevel"/>
    <w:tmpl w:val="BC3CD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1E4D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445827"/>
    <w:multiLevelType w:val="hybridMultilevel"/>
    <w:tmpl w:val="4A9E2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82469E"/>
    <w:multiLevelType w:val="hybridMultilevel"/>
    <w:tmpl w:val="ADCAA1FA"/>
    <w:lvl w:ilvl="0" w:tplc="1DACD2C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8E38C3"/>
    <w:multiLevelType w:val="hybridMultilevel"/>
    <w:tmpl w:val="93081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38268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671869"/>
    <w:multiLevelType w:val="hybridMultilevel"/>
    <w:tmpl w:val="4B8CA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68282B"/>
    <w:multiLevelType w:val="hybridMultilevel"/>
    <w:tmpl w:val="873C6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3B67AB"/>
    <w:multiLevelType w:val="hybridMultilevel"/>
    <w:tmpl w:val="BC14B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4A53BE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AD0ED1"/>
    <w:multiLevelType w:val="hybridMultilevel"/>
    <w:tmpl w:val="F32C90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3020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FDC690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0"/>
  </w:num>
  <w:num w:numId="3">
    <w:abstractNumId w:val="1"/>
  </w:num>
  <w:num w:numId="4">
    <w:abstractNumId w:val="1"/>
  </w:num>
  <w:num w:numId="5">
    <w:abstractNumId w:val="39"/>
  </w:num>
  <w:num w:numId="6">
    <w:abstractNumId w:val="26"/>
  </w:num>
  <w:num w:numId="7">
    <w:abstractNumId w:val="24"/>
  </w:num>
  <w:num w:numId="8">
    <w:abstractNumId w:val="6"/>
  </w:num>
  <w:num w:numId="9">
    <w:abstractNumId w:val="25"/>
  </w:num>
  <w:num w:numId="10">
    <w:abstractNumId w:val="14"/>
  </w:num>
  <w:num w:numId="11">
    <w:abstractNumId w:val="16"/>
  </w:num>
  <w:num w:numId="12">
    <w:abstractNumId w:val="31"/>
  </w:num>
  <w:num w:numId="13">
    <w:abstractNumId w:val="38"/>
  </w:num>
  <w:num w:numId="14">
    <w:abstractNumId w:val="30"/>
  </w:num>
  <w:num w:numId="15">
    <w:abstractNumId w:val="2"/>
  </w:num>
  <w:num w:numId="16">
    <w:abstractNumId w:val="32"/>
  </w:num>
  <w:num w:numId="17">
    <w:abstractNumId w:val="15"/>
  </w:num>
  <w:num w:numId="18">
    <w:abstractNumId w:val="23"/>
  </w:num>
  <w:num w:numId="19">
    <w:abstractNumId w:val="9"/>
  </w:num>
  <w:num w:numId="20">
    <w:abstractNumId w:val="33"/>
  </w:num>
  <w:num w:numId="21">
    <w:abstractNumId w:val="17"/>
  </w:num>
  <w:num w:numId="22">
    <w:abstractNumId w:val="21"/>
  </w:num>
  <w:num w:numId="23">
    <w:abstractNumId w:val="5"/>
  </w:num>
  <w:num w:numId="24">
    <w:abstractNumId w:val="12"/>
  </w:num>
  <w:num w:numId="25">
    <w:abstractNumId w:val="10"/>
  </w:num>
  <w:num w:numId="26">
    <w:abstractNumId w:val="4"/>
  </w:num>
  <w:num w:numId="27">
    <w:abstractNumId w:val="37"/>
  </w:num>
  <w:num w:numId="28">
    <w:abstractNumId w:val="36"/>
  </w:num>
  <w:num w:numId="29">
    <w:abstractNumId w:val="13"/>
  </w:num>
  <w:num w:numId="30">
    <w:abstractNumId w:val="41"/>
  </w:num>
  <w:num w:numId="31">
    <w:abstractNumId w:val="35"/>
  </w:num>
  <w:num w:numId="32">
    <w:abstractNumId w:val="19"/>
  </w:num>
  <w:num w:numId="33">
    <w:abstractNumId w:val="28"/>
  </w:num>
  <w:num w:numId="34">
    <w:abstractNumId w:val="22"/>
  </w:num>
  <w:num w:numId="35">
    <w:abstractNumId w:val="3"/>
  </w:num>
  <w:num w:numId="36">
    <w:abstractNumId w:val="0"/>
  </w:num>
  <w:num w:numId="37">
    <w:abstractNumId w:val="18"/>
  </w:num>
  <w:num w:numId="38">
    <w:abstractNumId w:val="42"/>
  </w:num>
  <w:num w:numId="39">
    <w:abstractNumId w:val="11"/>
  </w:num>
  <w:num w:numId="40">
    <w:abstractNumId w:val="8"/>
  </w:num>
  <w:num w:numId="41">
    <w:abstractNumId w:val="27"/>
  </w:num>
  <w:num w:numId="42">
    <w:abstractNumId w:val="29"/>
  </w:num>
  <w:num w:numId="43">
    <w:abstractNumId w:val="7"/>
  </w:num>
  <w:num w:numId="44">
    <w:abstractNumId w:val="40"/>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u Health Econ Style_Endno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DD6743"/>
    <w:rsid w:val="00001E2D"/>
    <w:rsid w:val="000062BE"/>
    <w:rsid w:val="000073A4"/>
    <w:rsid w:val="00013BE2"/>
    <w:rsid w:val="000246FE"/>
    <w:rsid w:val="000252FC"/>
    <w:rsid w:val="0002596A"/>
    <w:rsid w:val="000303AE"/>
    <w:rsid w:val="000304F8"/>
    <w:rsid w:val="00033698"/>
    <w:rsid w:val="00041C5E"/>
    <w:rsid w:val="00042363"/>
    <w:rsid w:val="00056EB6"/>
    <w:rsid w:val="0006455D"/>
    <w:rsid w:val="00066F31"/>
    <w:rsid w:val="000679E9"/>
    <w:rsid w:val="00067FD5"/>
    <w:rsid w:val="00070E45"/>
    <w:rsid w:val="00074BBC"/>
    <w:rsid w:val="00074DEE"/>
    <w:rsid w:val="00075EF4"/>
    <w:rsid w:val="00080939"/>
    <w:rsid w:val="00082C59"/>
    <w:rsid w:val="00083281"/>
    <w:rsid w:val="00083E1F"/>
    <w:rsid w:val="00085935"/>
    <w:rsid w:val="000863AA"/>
    <w:rsid w:val="00090B99"/>
    <w:rsid w:val="00092353"/>
    <w:rsid w:val="00092DB4"/>
    <w:rsid w:val="000965ED"/>
    <w:rsid w:val="000A28B9"/>
    <w:rsid w:val="000A3FB7"/>
    <w:rsid w:val="000B0160"/>
    <w:rsid w:val="000B0600"/>
    <w:rsid w:val="000B1A2A"/>
    <w:rsid w:val="000B41A0"/>
    <w:rsid w:val="000B51B6"/>
    <w:rsid w:val="000C4AA1"/>
    <w:rsid w:val="000C7BC3"/>
    <w:rsid w:val="000D372F"/>
    <w:rsid w:val="000D4FFE"/>
    <w:rsid w:val="000D55A4"/>
    <w:rsid w:val="000D6E27"/>
    <w:rsid w:val="000E4B3E"/>
    <w:rsid w:val="000E52E2"/>
    <w:rsid w:val="000E785C"/>
    <w:rsid w:val="000F5779"/>
    <w:rsid w:val="00103070"/>
    <w:rsid w:val="0010336C"/>
    <w:rsid w:val="001043C5"/>
    <w:rsid w:val="00104BE5"/>
    <w:rsid w:val="00105A7D"/>
    <w:rsid w:val="001071FC"/>
    <w:rsid w:val="00114804"/>
    <w:rsid w:val="001164D0"/>
    <w:rsid w:val="00120E3E"/>
    <w:rsid w:val="00121E10"/>
    <w:rsid w:val="00123D4F"/>
    <w:rsid w:val="001268BC"/>
    <w:rsid w:val="0012787A"/>
    <w:rsid w:val="00133E2A"/>
    <w:rsid w:val="00134146"/>
    <w:rsid w:val="0013517B"/>
    <w:rsid w:val="00137C99"/>
    <w:rsid w:val="00143183"/>
    <w:rsid w:val="00143C31"/>
    <w:rsid w:val="00144A46"/>
    <w:rsid w:val="00152C85"/>
    <w:rsid w:val="00154BF8"/>
    <w:rsid w:val="00154FB5"/>
    <w:rsid w:val="00160780"/>
    <w:rsid w:val="0016330A"/>
    <w:rsid w:val="001643B9"/>
    <w:rsid w:val="00164634"/>
    <w:rsid w:val="001703D6"/>
    <w:rsid w:val="00173EA4"/>
    <w:rsid w:val="0017419F"/>
    <w:rsid w:val="0017684C"/>
    <w:rsid w:val="00182674"/>
    <w:rsid w:val="00184E57"/>
    <w:rsid w:val="00190C5E"/>
    <w:rsid w:val="00197E69"/>
    <w:rsid w:val="001A49A1"/>
    <w:rsid w:val="001A5541"/>
    <w:rsid w:val="001A7AD3"/>
    <w:rsid w:val="001B6A8F"/>
    <w:rsid w:val="001B7B76"/>
    <w:rsid w:val="001C24EB"/>
    <w:rsid w:val="001C34AD"/>
    <w:rsid w:val="001C45F3"/>
    <w:rsid w:val="001C5D67"/>
    <w:rsid w:val="001C686A"/>
    <w:rsid w:val="001D03F4"/>
    <w:rsid w:val="001D179C"/>
    <w:rsid w:val="001D22AF"/>
    <w:rsid w:val="001D50B1"/>
    <w:rsid w:val="001D51B4"/>
    <w:rsid w:val="001E2B43"/>
    <w:rsid w:val="001E34DC"/>
    <w:rsid w:val="001E7DE7"/>
    <w:rsid w:val="001F1E17"/>
    <w:rsid w:val="001F2778"/>
    <w:rsid w:val="001F27C1"/>
    <w:rsid w:val="001F2D83"/>
    <w:rsid w:val="001F3032"/>
    <w:rsid w:val="0020400C"/>
    <w:rsid w:val="00206649"/>
    <w:rsid w:val="00211D41"/>
    <w:rsid w:val="00222F0F"/>
    <w:rsid w:val="00224980"/>
    <w:rsid w:val="002278A4"/>
    <w:rsid w:val="00234654"/>
    <w:rsid w:val="00234EBE"/>
    <w:rsid w:val="00235394"/>
    <w:rsid w:val="00237B39"/>
    <w:rsid w:val="002406AB"/>
    <w:rsid w:val="00242A49"/>
    <w:rsid w:val="00246479"/>
    <w:rsid w:val="00247A3E"/>
    <w:rsid w:val="0025100E"/>
    <w:rsid w:val="0025210B"/>
    <w:rsid w:val="00255379"/>
    <w:rsid w:val="002553B7"/>
    <w:rsid w:val="00256516"/>
    <w:rsid w:val="00260394"/>
    <w:rsid w:val="0027033A"/>
    <w:rsid w:val="00272F44"/>
    <w:rsid w:val="0027557C"/>
    <w:rsid w:val="002764AB"/>
    <w:rsid w:val="0027685F"/>
    <w:rsid w:val="00281534"/>
    <w:rsid w:val="00285C1D"/>
    <w:rsid w:val="00292D6C"/>
    <w:rsid w:val="0029427F"/>
    <w:rsid w:val="0029564C"/>
    <w:rsid w:val="00296890"/>
    <w:rsid w:val="002A1829"/>
    <w:rsid w:val="002A2A44"/>
    <w:rsid w:val="002A4B68"/>
    <w:rsid w:val="002A5775"/>
    <w:rsid w:val="002B0670"/>
    <w:rsid w:val="002B2AFA"/>
    <w:rsid w:val="002B6DD1"/>
    <w:rsid w:val="002C0215"/>
    <w:rsid w:val="002C0B75"/>
    <w:rsid w:val="002C1201"/>
    <w:rsid w:val="002C1649"/>
    <w:rsid w:val="002C2E8B"/>
    <w:rsid w:val="002C4914"/>
    <w:rsid w:val="002C5BB1"/>
    <w:rsid w:val="002D160F"/>
    <w:rsid w:val="002D22DA"/>
    <w:rsid w:val="002D6638"/>
    <w:rsid w:val="002E10FD"/>
    <w:rsid w:val="002E480F"/>
    <w:rsid w:val="002E6C80"/>
    <w:rsid w:val="002E773A"/>
    <w:rsid w:val="002E77B0"/>
    <w:rsid w:val="002F5B1B"/>
    <w:rsid w:val="002F5E0A"/>
    <w:rsid w:val="002F63D8"/>
    <w:rsid w:val="003032AA"/>
    <w:rsid w:val="00306D44"/>
    <w:rsid w:val="00307711"/>
    <w:rsid w:val="00307CDA"/>
    <w:rsid w:val="00312009"/>
    <w:rsid w:val="00312424"/>
    <w:rsid w:val="00312EDD"/>
    <w:rsid w:val="00313EBF"/>
    <w:rsid w:val="0031628E"/>
    <w:rsid w:val="0031629D"/>
    <w:rsid w:val="00316549"/>
    <w:rsid w:val="003218B0"/>
    <w:rsid w:val="00322E9A"/>
    <w:rsid w:val="00327A69"/>
    <w:rsid w:val="003302AA"/>
    <w:rsid w:val="00330D99"/>
    <w:rsid w:val="00331791"/>
    <w:rsid w:val="00334D9C"/>
    <w:rsid w:val="00335FC3"/>
    <w:rsid w:val="00340FA4"/>
    <w:rsid w:val="003452D5"/>
    <w:rsid w:val="00345B3D"/>
    <w:rsid w:val="00346DC2"/>
    <w:rsid w:val="00347FA2"/>
    <w:rsid w:val="003528CE"/>
    <w:rsid w:val="00362E08"/>
    <w:rsid w:val="00365BFA"/>
    <w:rsid w:val="003708EB"/>
    <w:rsid w:val="00376E36"/>
    <w:rsid w:val="00380E5D"/>
    <w:rsid w:val="003830F4"/>
    <w:rsid w:val="0038318B"/>
    <w:rsid w:val="0038773E"/>
    <w:rsid w:val="00390D27"/>
    <w:rsid w:val="00391BD4"/>
    <w:rsid w:val="003960F8"/>
    <w:rsid w:val="00396A9E"/>
    <w:rsid w:val="00397473"/>
    <w:rsid w:val="003A4F07"/>
    <w:rsid w:val="003A5138"/>
    <w:rsid w:val="003A573D"/>
    <w:rsid w:val="003B05B5"/>
    <w:rsid w:val="003B087C"/>
    <w:rsid w:val="003B1C6C"/>
    <w:rsid w:val="003B2DB8"/>
    <w:rsid w:val="003B3494"/>
    <w:rsid w:val="003B6C57"/>
    <w:rsid w:val="003C0943"/>
    <w:rsid w:val="003C124A"/>
    <w:rsid w:val="003C16D3"/>
    <w:rsid w:val="003C3523"/>
    <w:rsid w:val="003C6586"/>
    <w:rsid w:val="003C684F"/>
    <w:rsid w:val="003D0E12"/>
    <w:rsid w:val="003D405E"/>
    <w:rsid w:val="003E128E"/>
    <w:rsid w:val="003F17DF"/>
    <w:rsid w:val="003F5595"/>
    <w:rsid w:val="003F68D8"/>
    <w:rsid w:val="004038A0"/>
    <w:rsid w:val="0040774C"/>
    <w:rsid w:val="004100C3"/>
    <w:rsid w:val="00410BB4"/>
    <w:rsid w:val="00412F81"/>
    <w:rsid w:val="0042086B"/>
    <w:rsid w:val="00420C7D"/>
    <w:rsid w:val="0042156B"/>
    <w:rsid w:val="00421D99"/>
    <w:rsid w:val="00421F62"/>
    <w:rsid w:val="004266AA"/>
    <w:rsid w:val="00431624"/>
    <w:rsid w:val="004334AF"/>
    <w:rsid w:val="00434574"/>
    <w:rsid w:val="00440A61"/>
    <w:rsid w:val="0045523E"/>
    <w:rsid w:val="00455EF4"/>
    <w:rsid w:val="00462C76"/>
    <w:rsid w:val="004643AE"/>
    <w:rsid w:val="00474151"/>
    <w:rsid w:val="004771B6"/>
    <w:rsid w:val="0048216F"/>
    <w:rsid w:val="00483CE8"/>
    <w:rsid w:val="00483E61"/>
    <w:rsid w:val="004869C5"/>
    <w:rsid w:val="00486DCD"/>
    <w:rsid w:val="004924CF"/>
    <w:rsid w:val="004946E4"/>
    <w:rsid w:val="00497223"/>
    <w:rsid w:val="004A574F"/>
    <w:rsid w:val="004B35ED"/>
    <w:rsid w:val="004B37C4"/>
    <w:rsid w:val="004B70D6"/>
    <w:rsid w:val="004C2283"/>
    <w:rsid w:val="004C3C18"/>
    <w:rsid w:val="004D06A2"/>
    <w:rsid w:val="004D1D75"/>
    <w:rsid w:val="004D3145"/>
    <w:rsid w:val="004D4F1C"/>
    <w:rsid w:val="004D504D"/>
    <w:rsid w:val="004F1C44"/>
    <w:rsid w:val="004F4CC8"/>
    <w:rsid w:val="004F606E"/>
    <w:rsid w:val="005035E1"/>
    <w:rsid w:val="005052EA"/>
    <w:rsid w:val="00507483"/>
    <w:rsid w:val="00507C66"/>
    <w:rsid w:val="005103AE"/>
    <w:rsid w:val="005126AA"/>
    <w:rsid w:val="00515D97"/>
    <w:rsid w:val="005171EC"/>
    <w:rsid w:val="00517212"/>
    <w:rsid w:val="00517A36"/>
    <w:rsid w:val="005237F8"/>
    <w:rsid w:val="00524410"/>
    <w:rsid w:val="00526064"/>
    <w:rsid w:val="00530F3E"/>
    <w:rsid w:val="00534E23"/>
    <w:rsid w:val="005363DD"/>
    <w:rsid w:val="00541C0A"/>
    <w:rsid w:val="00545FC4"/>
    <w:rsid w:val="005503CF"/>
    <w:rsid w:val="00551FD5"/>
    <w:rsid w:val="00560774"/>
    <w:rsid w:val="00561CDE"/>
    <w:rsid w:val="0056381D"/>
    <w:rsid w:val="0056414C"/>
    <w:rsid w:val="005643C0"/>
    <w:rsid w:val="00565F63"/>
    <w:rsid w:val="005670E0"/>
    <w:rsid w:val="005678A0"/>
    <w:rsid w:val="00570A0E"/>
    <w:rsid w:val="00571102"/>
    <w:rsid w:val="0057396E"/>
    <w:rsid w:val="00580C19"/>
    <w:rsid w:val="005917BA"/>
    <w:rsid w:val="00591F97"/>
    <w:rsid w:val="00595304"/>
    <w:rsid w:val="005957A7"/>
    <w:rsid w:val="0059613D"/>
    <w:rsid w:val="005A1D88"/>
    <w:rsid w:val="005B3537"/>
    <w:rsid w:val="005B4FAB"/>
    <w:rsid w:val="005C173E"/>
    <w:rsid w:val="005C39AF"/>
    <w:rsid w:val="005D1288"/>
    <w:rsid w:val="005D4863"/>
    <w:rsid w:val="005D560D"/>
    <w:rsid w:val="005E1844"/>
    <w:rsid w:val="005E695C"/>
    <w:rsid w:val="005E6B00"/>
    <w:rsid w:val="005E786C"/>
    <w:rsid w:val="005F5C5E"/>
    <w:rsid w:val="005F60EC"/>
    <w:rsid w:val="00601854"/>
    <w:rsid w:val="00602404"/>
    <w:rsid w:val="006054A5"/>
    <w:rsid w:val="00605A70"/>
    <w:rsid w:val="00611503"/>
    <w:rsid w:val="00611F12"/>
    <w:rsid w:val="00613CA8"/>
    <w:rsid w:val="00615B07"/>
    <w:rsid w:val="0061691A"/>
    <w:rsid w:val="0062074A"/>
    <w:rsid w:val="00623438"/>
    <w:rsid w:val="00627C97"/>
    <w:rsid w:val="00632C5E"/>
    <w:rsid w:val="00632EF0"/>
    <w:rsid w:val="00654EC6"/>
    <w:rsid w:val="006622EA"/>
    <w:rsid w:val="00663890"/>
    <w:rsid w:val="00663FE2"/>
    <w:rsid w:val="006679C8"/>
    <w:rsid w:val="00671C9B"/>
    <w:rsid w:val="0067302F"/>
    <w:rsid w:val="0067483B"/>
    <w:rsid w:val="00675ABA"/>
    <w:rsid w:val="006803D7"/>
    <w:rsid w:val="00682337"/>
    <w:rsid w:val="006835A1"/>
    <w:rsid w:val="00685917"/>
    <w:rsid w:val="00686B0A"/>
    <w:rsid w:val="0069084F"/>
    <w:rsid w:val="00693EAB"/>
    <w:rsid w:val="006A2EC9"/>
    <w:rsid w:val="006A47DC"/>
    <w:rsid w:val="006A6831"/>
    <w:rsid w:val="006A7FC2"/>
    <w:rsid w:val="006B29DE"/>
    <w:rsid w:val="006C13FA"/>
    <w:rsid w:val="006C2482"/>
    <w:rsid w:val="006C4AEA"/>
    <w:rsid w:val="006D6DC4"/>
    <w:rsid w:val="006E1234"/>
    <w:rsid w:val="006E136B"/>
    <w:rsid w:val="006E238E"/>
    <w:rsid w:val="006E396E"/>
    <w:rsid w:val="006E52D6"/>
    <w:rsid w:val="006E75D8"/>
    <w:rsid w:val="006E7E02"/>
    <w:rsid w:val="006F68F2"/>
    <w:rsid w:val="00702219"/>
    <w:rsid w:val="0070295B"/>
    <w:rsid w:val="00704960"/>
    <w:rsid w:val="00714144"/>
    <w:rsid w:val="00715B98"/>
    <w:rsid w:val="00717EFA"/>
    <w:rsid w:val="007234F8"/>
    <w:rsid w:val="00724F1E"/>
    <w:rsid w:val="007262EE"/>
    <w:rsid w:val="00726611"/>
    <w:rsid w:val="00727DAB"/>
    <w:rsid w:val="00730326"/>
    <w:rsid w:val="00730B31"/>
    <w:rsid w:val="0073411D"/>
    <w:rsid w:val="0074716C"/>
    <w:rsid w:val="00757FAA"/>
    <w:rsid w:val="0076084E"/>
    <w:rsid w:val="007621ED"/>
    <w:rsid w:val="0076401F"/>
    <w:rsid w:val="007649AB"/>
    <w:rsid w:val="0076676C"/>
    <w:rsid w:val="007668A6"/>
    <w:rsid w:val="00767F11"/>
    <w:rsid w:val="007727B1"/>
    <w:rsid w:val="00775CCD"/>
    <w:rsid w:val="00776480"/>
    <w:rsid w:val="0078466D"/>
    <w:rsid w:val="007855D8"/>
    <w:rsid w:val="00786820"/>
    <w:rsid w:val="00786F24"/>
    <w:rsid w:val="007916AF"/>
    <w:rsid w:val="00793B0D"/>
    <w:rsid w:val="007950AE"/>
    <w:rsid w:val="007A0ABA"/>
    <w:rsid w:val="007A2218"/>
    <w:rsid w:val="007A472F"/>
    <w:rsid w:val="007A49D2"/>
    <w:rsid w:val="007A6CCB"/>
    <w:rsid w:val="007B6D50"/>
    <w:rsid w:val="007C0A5A"/>
    <w:rsid w:val="007C34B9"/>
    <w:rsid w:val="007C6084"/>
    <w:rsid w:val="007D3816"/>
    <w:rsid w:val="007D4850"/>
    <w:rsid w:val="007E3034"/>
    <w:rsid w:val="007E6D9B"/>
    <w:rsid w:val="007E7859"/>
    <w:rsid w:val="007F1D33"/>
    <w:rsid w:val="007F28BF"/>
    <w:rsid w:val="007F341B"/>
    <w:rsid w:val="007F371E"/>
    <w:rsid w:val="00800912"/>
    <w:rsid w:val="0080569D"/>
    <w:rsid w:val="00807C2E"/>
    <w:rsid w:val="00810317"/>
    <w:rsid w:val="00811416"/>
    <w:rsid w:val="0081399D"/>
    <w:rsid w:val="00816DF7"/>
    <w:rsid w:val="008203C4"/>
    <w:rsid w:val="0082665A"/>
    <w:rsid w:val="00826CAC"/>
    <w:rsid w:val="00832357"/>
    <w:rsid w:val="00842172"/>
    <w:rsid w:val="00844659"/>
    <w:rsid w:val="00845881"/>
    <w:rsid w:val="008515EE"/>
    <w:rsid w:val="008518FF"/>
    <w:rsid w:val="00854AB5"/>
    <w:rsid w:val="00856A9E"/>
    <w:rsid w:val="00865509"/>
    <w:rsid w:val="00865F00"/>
    <w:rsid w:val="008674B0"/>
    <w:rsid w:val="00870DFC"/>
    <w:rsid w:val="00873E0A"/>
    <w:rsid w:val="00881E25"/>
    <w:rsid w:val="008826D9"/>
    <w:rsid w:val="008862B6"/>
    <w:rsid w:val="008876AD"/>
    <w:rsid w:val="0089108B"/>
    <w:rsid w:val="00891C2B"/>
    <w:rsid w:val="00892292"/>
    <w:rsid w:val="0089590B"/>
    <w:rsid w:val="00897050"/>
    <w:rsid w:val="00897BCF"/>
    <w:rsid w:val="00897DB1"/>
    <w:rsid w:val="008A30BE"/>
    <w:rsid w:val="008A5869"/>
    <w:rsid w:val="008A5D34"/>
    <w:rsid w:val="008A71B5"/>
    <w:rsid w:val="008A7D65"/>
    <w:rsid w:val="008C1D0B"/>
    <w:rsid w:val="008C245F"/>
    <w:rsid w:val="008C4898"/>
    <w:rsid w:val="008C5447"/>
    <w:rsid w:val="008D3A78"/>
    <w:rsid w:val="008D524C"/>
    <w:rsid w:val="008E0690"/>
    <w:rsid w:val="008E3341"/>
    <w:rsid w:val="008E5BBE"/>
    <w:rsid w:val="008E6C10"/>
    <w:rsid w:val="008E75AC"/>
    <w:rsid w:val="008F0061"/>
    <w:rsid w:val="008F44BE"/>
    <w:rsid w:val="00904264"/>
    <w:rsid w:val="00911F83"/>
    <w:rsid w:val="00912523"/>
    <w:rsid w:val="009173C7"/>
    <w:rsid w:val="00925EAB"/>
    <w:rsid w:val="00937208"/>
    <w:rsid w:val="00942DF3"/>
    <w:rsid w:val="00943809"/>
    <w:rsid w:val="00943BE9"/>
    <w:rsid w:val="00947B14"/>
    <w:rsid w:val="0095315F"/>
    <w:rsid w:val="00963321"/>
    <w:rsid w:val="00965926"/>
    <w:rsid w:val="00972F06"/>
    <w:rsid w:val="00973858"/>
    <w:rsid w:val="009864A1"/>
    <w:rsid w:val="0099048C"/>
    <w:rsid w:val="00992665"/>
    <w:rsid w:val="00993653"/>
    <w:rsid w:val="00993A51"/>
    <w:rsid w:val="00994F8C"/>
    <w:rsid w:val="009A0B9A"/>
    <w:rsid w:val="009A29DE"/>
    <w:rsid w:val="009A4161"/>
    <w:rsid w:val="009B2D0E"/>
    <w:rsid w:val="009B6CD6"/>
    <w:rsid w:val="009B7576"/>
    <w:rsid w:val="009C04BE"/>
    <w:rsid w:val="009C0BC4"/>
    <w:rsid w:val="009C22BA"/>
    <w:rsid w:val="009C63A1"/>
    <w:rsid w:val="009C6C48"/>
    <w:rsid w:val="009C7CF1"/>
    <w:rsid w:val="009D02E3"/>
    <w:rsid w:val="009D1A74"/>
    <w:rsid w:val="009D206E"/>
    <w:rsid w:val="009D22F0"/>
    <w:rsid w:val="009D3E1A"/>
    <w:rsid w:val="009D7D2B"/>
    <w:rsid w:val="009E7FD2"/>
    <w:rsid w:val="009F0C25"/>
    <w:rsid w:val="009F25A0"/>
    <w:rsid w:val="009F2A79"/>
    <w:rsid w:val="00A05B13"/>
    <w:rsid w:val="00A05EC0"/>
    <w:rsid w:val="00A1213E"/>
    <w:rsid w:val="00A13FC8"/>
    <w:rsid w:val="00A16A2F"/>
    <w:rsid w:val="00A20EA6"/>
    <w:rsid w:val="00A22AED"/>
    <w:rsid w:val="00A34D1C"/>
    <w:rsid w:val="00A42A83"/>
    <w:rsid w:val="00A437C0"/>
    <w:rsid w:val="00A46D0E"/>
    <w:rsid w:val="00A5125D"/>
    <w:rsid w:val="00A51DD7"/>
    <w:rsid w:val="00A53333"/>
    <w:rsid w:val="00A604F6"/>
    <w:rsid w:val="00A616AE"/>
    <w:rsid w:val="00A63A84"/>
    <w:rsid w:val="00A7263B"/>
    <w:rsid w:val="00A81C9C"/>
    <w:rsid w:val="00A855D4"/>
    <w:rsid w:val="00A87476"/>
    <w:rsid w:val="00A87506"/>
    <w:rsid w:val="00A94A28"/>
    <w:rsid w:val="00AA3495"/>
    <w:rsid w:val="00AA5E18"/>
    <w:rsid w:val="00AA7691"/>
    <w:rsid w:val="00AA7B8F"/>
    <w:rsid w:val="00AC5CAA"/>
    <w:rsid w:val="00AC648D"/>
    <w:rsid w:val="00AD66D3"/>
    <w:rsid w:val="00AE12A6"/>
    <w:rsid w:val="00AE5AB7"/>
    <w:rsid w:val="00AE71A9"/>
    <w:rsid w:val="00AF0BEF"/>
    <w:rsid w:val="00AF0E0E"/>
    <w:rsid w:val="00AF1439"/>
    <w:rsid w:val="00AF29A2"/>
    <w:rsid w:val="00B003CC"/>
    <w:rsid w:val="00B034B4"/>
    <w:rsid w:val="00B07044"/>
    <w:rsid w:val="00B10C0E"/>
    <w:rsid w:val="00B126BD"/>
    <w:rsid w:val="00B13279"/>
    <w:rsid w:val="00B178F7"/>
    <w:rsid w:val="00B17AD5"/>
    <w:rsid w:val="00B17B51"/>
    <w:rsid w:val="00B17BBC"/>
    <w:rsid w:val="00B212FD"/>
    <w:rsid w:val="00B21311"/>
    <w:rsid w:val="00B2142C"/>
    <w:rsid w:val="00B237A0"/>
    <w:rsid w:val="00B24F7F"/>
    <w:rsid w:val="00B315AE"/>
    <w:rsid w:val="00B35FC1"/>
    <w:rsid w:val="00B37729"/>
    <w:rsid w:val="00B44DCF"/>
    <w:rsid w:val="00B47027"/>
    <w:rsid w:val="00B52A61"/>
    <w:rsid w:val="00B5306B"/>
    <w:rsid w:val="00B531A6"/>
    <w:rsid w:val="00B55E3D"/>
    <w:rsid w:val="00B570E3"/>
    <w:rsid w:val="00B72832"/>
    <w:rsid w:val="00B87F40"/>
    <w:rsid w:val="00B91113"/>
    <w:rsid w:val="00B9130F"/>
    <w:rsid w:val="00B91DC0"/>
    <w:rsid w:val="00B93E29"/>
    <w:rsid w:val="00B96446"/>
    <w:rsid w:val="00B9673C"/>
    <w:rsid w:val="00BA39BF"/>
    <w:rsid w:val="00BB2983"/>
    <w:rsid w:val="00BB5348"/>
    <w:rsid w:val="00BC35FD"/>
    <w:rsid w:val="00BC5CBC"/>
    <w:rsid w:val="00BC766C"/>
    <w:rsid w:val="00BC7E9F"/>
    <w:rsid w:val="00BD64B3"/>
    <w:rsid w:val="00BD693B"/>
    <w:rsid w:val="00BE0CA6"/>
    <w:rsid w:val="00BE140F"/>
    <w:rsid w:val="00BE29FA"/>
    <w:rsid w:val="00BE3604"/>
    <w:rsid w:val="00BE40D0"/>
    <w:rsid w:val="00BF37D4"/>
    <w:rsid w:val="00BF5317"/>
    <w:rsid w:val="00BF64D6"/>
    <w:rsid w:val="00BF7635"/>
    <w:rsid w:val="00BF7E88"/>
    <w:rsid w:val="00C00F1D"/>
    <w:rsid w:val="00C034F9"/>
    <w:rsid w:val="00C21795"/>
    <w:rsid w:val="00C230D6"/>
    <w:rsid w:val="00C27648"/>
    <w:rsid w:val="00C30300"/>
    <w:rsid w:val="00C32C09"/>
    <w:rsid w:val="00C32DFE"/>
    <w:rsid w:val="00C405C3"/>
    <w:rsid w:val="00C4177F"/>
    <w:rsid w:val="00C41C0B"/>
    <w:rsid w:val="00C44AD1"/>
    <w:rsid w:val="00C44B85"/>
    <w:rsid w:val="00C51087"/>
    <w:rsid w:val="00C51ADD"/>
    <w:rsid w:val="00C524CE"/>
    <w:rsid w:val="00C60930"/>
    <w:rsid w:val="00C62664"/>
    <w:rsid w:val="00C65E8B"/>
    <w:rsid w:val="00C70E5E"/>
    <w:rsid w:val="00C7112C"/>
    <w:rsid w:val="00C75638"/>
    <w:rsid w:val="00C77AE8"/>
    <w:rsid w:val="00C83014"/>
    <w:rsid w:val="00C83026"/>
    <w:rsid w:val="00C8448E"/>
    <w:rsid w:val="00C85E1E"/>
    <w:rsid w:val="00C9037A"/>
    <w:rsid w:val="00C97264"/>
    <w:rsid w:val="00C97994"/>
    <w:rsid w:val="00CA6230"/>
    <w:rsid w:val="00CB101E"/>
    <w:rsid w:val="00CB3603"/>
    <w:rsid w:val="00CB6F60"/>
    <w:rsid w:val="00CC36BD"/>
    <w:rsid w:val="00CC574F"/>
    <w:rsid w:val="00CD0C29"/>
    <w:rsid w:val="00CD4CA3"/>
    <w:rsid w:val="00CD558E"/>
    <w:rsid w:val="00CE3288"/>
    <w:rsid w:val="00CE42DE"/>
    <w:rsid w:val="00CF00DD"/>
    <w:rsid w:val="00CF0DB0"/>
    <w:rsid w:val="00CF26AA"/>
    <w:rsid w:val="00CF5CF0"/>
    <w:rsid w:val="00CF6A77"/>
    <w:rsid w:val="00D036F5"/>
    <w:rsid w:val="00D07CA5"/>
    <w:rsid w:val="00D10BD4"/>
    <w:rsid w:val="00D113B8"/>
    <w:rsid w:val="00D1470E"/>
    <w:rsid w:val="00D17909"/>
    <w:rsid w:val="00D22176"/>
    <w:rsid w:val="00D235CB"/>
    <w:rsid w:val="00D27ABB"/>
    <w:rsid w:val="00D31784"/>
    <w:rsid w:val="00D32995"/>
    <w:rsid w:val="00D3336D"/>
    <w:rsid w:val="00D3656B"/>
    <w:rsid w:val="00D41C4D"/>
    <w:rsid w:val="00D41F74"/>
    <w:rsid w:val="00D47C77"/>
    <w:rsid w:val="00D52274"/>
    <w:rsid w:val="00D53A0B"/>
    <w:rsid w:val="00D55BF1"/>
    <w:rsid w:val="00D615F9"/>
    <w:rsid w:val="00D6241E"/>
    <w:rsid w:val="00D651CF"/>
    <w:rsid w:val="00D7150D"/>
    <w:rsid w:val="00D76110"/>
    <w:rsid w:val="00D863A9"/>
    <w:rsid w:val="00D867AE"/>
    <w:rsid w:val="00D86850"/>
    <w:rsid w:val="00D91532"/>
    <w:rsid w:val="00D9630F"/>
    <w:rsid w:val="00DA7D2D"/>
    <w:rsid w:val="00DC0FE5"/>
    <w:rsid w:val="00DC22F8"/>
    <w:rsid w:val="00DC55DC"/>
    <w:rsid w:val="00DC5DB9"/>
    <w:rsid w:val="00DC7B43"/>
    <w:rsid w:val="00DD135C"/>
    <w:rsid w:val="00DD13DD"/>
    <w:rsid w:val="00DD176D"/>
    <w:rsid w:val="00DD5F8F"/>
    <w:rsid w:val="00DD6743"/>
    <w:rsid w:val="00DE35A1"/>
    <w:rsid w:val="00DE61C0"/>
    <w:rsid w:val="00DE6F6A"/>
    <w:rsid w:val="00DE7D7E"/>
    <w:rsid w:val="00DF1069"/>
    <w:rsid w:val="00DF1D75"/>
    <w:rsid w:val="00DF44F7"/>
    <w:rsid w:val="00E0683E"/>
    <w:rsid w:val="00E07408"/>
    <w:rsid w:val="00E07BA3"/>
    <w:rsid w:val="00E104D6"/>
    <w:rsid w:val="00E120ED"/>
    <w:rsid w:val="00E14BE2"/>
    <w:rsid w:val="00E177E1"/>
    <w:rsid w:val="00E20D22"/>
    <w:rsid w:val="00E235EF"/>
    <w:rsid w:val="00E264B2"/>
    <w:rsid w:val="00E300E1"/>
    <w:rsid w:val="00E338CB"/>
    <w:rsid w:val="00E36E83"/>
    <w:rsid w:val="00E424CE"/>
    <w:rsid w:val="00E468E8"/>
    <w:rsid w:val="00E47768"/>
    <w:rsid w:val="00E477EF"/>
    <w:rsid w:val="00E47F1D"/>
    <w:rsid w:val="00E514D3"/>
    <w:rsid w:val="00E5232C"/>
    <w:rsid w:val="00E556EA"/>
    <w:rsid w:val="00E56CAF"/>
    <w:rsid w:val="00E57099"/>
    <w:rsid w:val="00E60851"/>
    <w:rsid w:val="00E64383"/>
    <w:rsid w:val="00E64A34"/>
    <w:rsid w:val="00E678EF"/>
    <w:rsid w:val="00E71411"/>
    <w:rsid w:val="00E735F0"/>
    <w:rsid w:val="00E8276A"/>
    <w:rsid w:val="00E85B71"/>
    <w:rsid w:val="00E90D6F"/>
    <w:rsid w:val="00E91A06"/>
    <w:rsid w:val="00E9525C"/>
    <w:rsid w:val="00EB008F"/>
    <w:rsid w:val="00EB01A8"/>
    <w:rsid w:val="00EB0765"/>
    <w:rsid w:val="00EB4B1A"/>
    <w:rsid w:val="00EB5EB8"/>
    <w:rsid w:val="00EB6425"/>
    <w:rsid w:val="00EB6F77"/>
    <w:rsid w:val="00EB7379"/>
    <w:rsid w:val="00EC2FCD"/>
    <w:rsid w:val="00EC5CEA"/>
    <w:rsid w:val="00EC6B02"/>
    <w:rsid w:val="00ED1272"/>
    <w:rsid w:val="00ED27E8"/>
    <w:rsid w:val="00ED5FE0"/>
    <w:rsid w:val="00EE2248"/>
    <w:rsid w:val="00EE6193"/>
    <w:rsid w:val="00EE6646"/>
    <w:rsid w:val="00EF1380"/>
    <w:rsid w:val="00EF2CE0"/>
    <w:rsid w:val="00EF347F"/>
    <w:rsid w:val="00EF7FEB"/>
    <w:rsid w:val="00F0030B"/>
    <w:rsid w:val="00F04130"/>
    <w:rsid w:val="00F06B01"/>
    <w:rsid w:val="00F07556"/>
    <w:rsid w:val="00F1011A"/>
    <w:rsid w:val="00F20F19"/>
    <w:rsid w:val="00F23F86"/>
    <w:rsid w:val="00F24B79"/>
    <w:rsid w:val="00F267EE"/>
    <w:rsid w:val="00F31C7F"/>
    <w:rsid w:val="00F35E6E"/>
    <w:rsid w:val="00F37D20"/>
    <w:rsid w:val="00F4280D"/>
    <w:rsid w:val="00F453C2"/>
    <w:rsid w:val="00F50290"/>
    <w:rsid w:val="00F53C42"/>
    <w:rsid w:val="00F545E8"/>
    <w:rsid w:val="00F54DEE"/>
    <w:rsid w:val="00F56839"/>
    <w:rsid w:val="00F56E9F"/>
    <w:rsid w:val="00F5714B"/>
    <w:rsid w:val="00F639C2"/>
    <w:rsid w:val="00F668CC"/>
    <w:rsid w:val="00F81A76"/>
    <w:rsid w:val="00F83238"/>
    <w:rsid w:val="00F865DB"/>
    <w:rsid w:val="00F866AA"/>
    <w:rsid w:val="00F920A8"/>
    <w:rsid w:val="00F92EF3"/>
    <w:rsid w:val="00F9595C"/>
    <w:rsid w:val="00F976A5"/>
    <w:rsid w:val="00FA3AFB"/>
    <w:rsid w:val="00FA4A6D"/>
    <w:rsid w:val="00FB7892"/>
    <w:rsid w:val="00FC239A"/>
    <w:rsid w:val="00FC7137"/>
    <w:rsid w:val="00FD1A4F"/>
    <w:rsid w:val="00FD44A2"/>
    <w:rsid w:val="00FE01C2"/>
    <w:rsid w:val="00FE4B41"/>
    <w:rsid w:val="00FE6663"/>
    <w:rsid w:val="00FF0318"/>
    <w:rsid w:val="00FF35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E17B1"/>
  <w15:chartTrackingRefBased/>
  <w15:docId w15:val="{0723A8AC-9957-47E0-AB0F-F80A0863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113"/>
    <w:pPr>
      <w:spacing w:after="0" w:line="480" w:lineRule="auto"/>
    </w:pPr>
    <w:rPr>
      <w:rFonts w:eastAsiaTheme="minorEastAsia" w:cstheme="minorBidi"/>
      <w:lang w:eastAsia="en-GB"/>
    </w:rPr>
  </w:style>
  <w:style w:type="paragraph" w:styleId="Heading1">
    <w:name w:val="heading 1"/>
    <w:basedOn w:val="Normal"/>
    <w:next w:val="Normal"/>
    <w:link w:val="Heading1Char"/>
    <w:uiPriority w:val="9"/>
    <w:qFormat/>
    <w:rsid w:val="00013BE2"/>
    <w:pPr>
      <w:keepNext/>
      <w:keepLines/>
      <w:numPr>
        <w:numId w:val="4"/>
      </w:numPr>
      <w:spacing w:before="24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13BE2"/>
    <w:pPr>
      <w:keepNext/>
      <w:keepLines/>
      <w:numPr>
        <w:ilvl w:val="1"/>
        <w:numId w:val="4"/>
      </w:numPr>
      <w:spacing w:before="40"/>
      <w:outlineLvl w:val="1"/>
    </w:pPr>
    <w:rPr>
      <w:rFonts w:eastAsiaTheme="majorEastAsia" w:cstheme="majorBidi"/>
      <w:color w:val="2E74B5" w:themeColor="accent1" w:themeShade="BF"/>
      <w:szCs w:val="26"/>
    </w:rPr>
  </w:style>
  <w:style w:type="paragraph" w:styleId="Heading3">
    <w:name w:val="heading 3"/>
    <w:basedOn w:val="Normal"/>
    <w:next w:val="Normal"/>
    <w:link w:val="Heading3Char"/>
    <w:uiPriority w:val="9"/>
    <w:unhideWhenUsed/>
    <w:qFormat/>
    <w:rsid w:val="00013BE2"/>
    <w:pPr>
      <w:keepNext/>
      <w:keepLines/>
      <w:numPr>
        <w:ilvl w:val="2"/>
        <w:numId w:val="4"/>
      </w:numPr>
      <w:spacing w:before="40"/>
      <w:outlineLvl w:val="2"/>
    </w:pPr>
    <w:rPr>
      <w:rFonts w:eastAsiaTheme="majorEastAsia" w:cstheme="majorBidi"/>
      <w:color w:val="1F4D78" w:themeColor="accent1" w:themeShade="7F"/>
      <w:szCs w:val="24"/>
    </w:rPr>
  </w:style>
  <w:style w:type="paragraph" w:styleId="Heading4">
    <w:name w:val="heading 4"/>
    <w:basedOn w:val="Normal"/>
    <w:next w:val="Normal"/>
    <w:link w:val="Heading4Char"/>
    <w:uiPriority w:val="9"/>
    <w:unhideWhenUsed/>
    <w:qFormat/>
    <w:rsid w:val="00013BE2"/>
    <w:pPr>
      <w:keepNext/>
      <w:keepLines/>
      <w:numPr>
        <w:ilvl w:val="3"/>
        <w:numId w:val="3"/>
      </w:numPr>
      <w:spacing w:before="40"/>
      <w:outlineLvl w:val="3"/>
    </w:pPr>
    <w:rPr>
      <w:rFonts w:eastAsiaTheme="majorEastAsia" w:cstheme="majorBid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B9A"/>
    <w:rPr>
      <w:rFonts w:eastAsiaTheme="majorEastAsia" w:cstheme="majorBidi"/>
      <w:color w:val="2E74B5" w:themeColor="accent1" w:themeShade="BF"/>
      <w:sz w:val="32"/>
      <w:szCs w:val="32"/>
      <w:lang w:eastAsia="en-GB"/>
    </w:rPr>
  </w:style>
  <w:style w:type="character" w:customStyle="1" w:styleId="Heading2Char">
    <w:name w:val="Heading 2 Char"/>
    <w:basedOn w:val="DefaultParagraphFont"/>
    <w:link w:val="Heading2"/>
    <w:uiPriority w:val="9"/>
    <w:rsid w:val="009A0B9A"/>
    <w:rPr>
      <w:rFonts w:eastAsiaTheme="majorEastAsia" w:cstheme="majorBidi"/>
      <w:color w:val="2E74B5" w:themeColor="accent1" w:themeShade="BF"/>
      <w:szCs w:val="26"/>
      <w:lang w:eastAsia="en-GB"/>
    </w:rPr>
  </w:style>
  <w:style w:type="character" w:customStyle="1" w:styleId="Heading3Char">
    <w:name w:val="Heading 3 Char"/>
    <w:basedOn w:val="DefaultParagraphFont"/>
    <w:link w:val="Heading3"/>
    <w:uiPriority w:val="9"/>
    <w:rsid w:val="00013BE2"/>
    <w:rPr>
      <w:rFonts w:eastAsiaTheme="majorEastAsia" w:cstheme="majorBidi"/>
      <w:color w:val="1F4D78" w:themeColor="accent1" w:themeShade="7F"/>
      <w:szCs w:val="24"/>
      <w:lang w:eastAsia="en-GB"/>
    </w:rPr>
  </w:style>
  <w:style w:type="character" w:customStyle="1" w:styleId="Heading4Char">
    <w:name w:val="Heading 4 Char"/>
    <w:basedOn w:val="DefaultParagraphFont"/>
    <w:link w:val="Heading4"/>
    <w:uiPriority w:val="9"/>
    <w:rsid w:val="00013BE2"/>
    <w:rPr>
      <w:rFonts w:eastAsiaTheme="majorEastAsia" w:cstheme="majorBidi"/>
      <w:iCs/>
      <w:color w:val="2E74B5" w:themeColor="accent1" w:themeShade="BF"/>
      <w:lang w:eastAsia="en-GB"/>
    </w:rPr>
  </w:style>
  <w:style w:type="paragraph" w:styleId="Caption">
    <w:name w:val="caption"/>
    <w:basedOn w:val="Normal"/>
    <w:next w:val="Normal"/>
    <w:autoRedefine/>
    <w:uiPriority w:val="35"/>
    <w:unhideWhenUsed/>
    <w:qFormat/>
    <w:rsid w:val="0012787A"/>
    <w:pPr>
      <w:spacing w:after="200" w:line="240" w:lineRule="auto"/>
    </w:pPr>
    <w:rPr>
      <w:iCs/>
      <w:color w:val="2E74B5" w:themeColor="accent1" w:themeShade="BF"/>
      <w:szCs w:val="18"/>
    </w:rPr>
  </w:style>
  <w:style w:type="paragraph" w:styleId="FootnoteText">
    <w:name w:val="footnote text"/>
    <w:basedOn w:val="Normal"/>
    <w:link w:val="FootnoteTextChar"/>
    <w:uiPriority w:val="99"/>
    <w:semiHidden/>
    <w:unhideWhenUsed/>
    <w:rsid w:val="00222F0F"/>
    <w:pPr>
      <w:spacing w:line="240" w:lineRule="auto"/>
    </w:pPr>
    <w:rPr>
      <w:rFonts w:cs="Times New Roman"/>
      <w:sz w:val="20"/>
      <w:szCs w:val="20"/>
    </w:rPr>
  </w:style>
  <w:style w:type="character" w:customStyle="1" w:styleId="FootnoteTextChar">
    <w:name w:val="Footnote Text Char"/>
    <w:basedOn w:val="DefaultParagraphFont"/>
    <w:link w:val="FootnoteText"/>
    <w:uiPriority w:val="99"/>
    <w:semiHidden/>
    <w:rsid w:val="00222F0F"/>
    <w:rPr>
      <w:rFonts w:eastAsiaTheme="minorEastAsia"/>
      <w:sz w:val="20"/>
      <w:szCs w:val="20"/>
      <w:lang w:eastAsia="en-GB"/>
    </w:rPr>
  </w:style>
  <w:style w:type="character" w:styleId="FootnoteReference">
    <w:name w:val="footnote reference"/>
    <w:basedOn w:val="DefaultParagraphFont"/>
    <w:uiPriority w:val="99"/>
    <w:semiHidden/>
    <w:unhideWhenUsed/>
    <w:rsid w:val="00222F0F"/>
    <w:rPr>
      <w:vertAlign w:val="superscript"/>
    </w:rPr>
  </w:style>
  <w:style w:type="paragraph" w:customStyle="1" w:styleId="EndNoteBibliographyTitle">
    <w:name w:val="EndNote Bibliography Title"/>
    <w:basedOn w:val="Normal"/>
    <w:link w:val="EndNoteBibliographyTitleChar"/>
    <w:rsid w:val="00E556EA"/>
    <w:pPr>
      <w:jc w:val="center"/>
    </w:pPr>
    <w:rPr>
      <w:rFonts w:cs="Times New Roman"/>
      <w:noProof/>
    </w:rPr>
  </w:style>
  <w:style w:type="character" w:customStyle="1" w:styleId="EndNoteBibliographyTitleChar">
    <w:name w:val="EndNote Bibliography Title Char"/>
    <w:basedOn w:val="DefaultParagraphFont"/>
    <w:link w:val="EndNoteBibliographyTitle"/>
    <w:rsid w:val="00E556EA"/>
    <w:rPr>
      <w:rFonts w:eastAsiaTheme="minorEastAsia"/>
      <w:noProof/>
      <w:lang w:eastAsia="en-GB"/>
    </w:rPr>
  </w:style>
  <w:style w:type="paragraph" w:customStyle="1" w:styleId="EndNoteBibliography">
    <w:name w:val="EndNote Bibliography"/>
    <w:basedOn w:val="Normal"/>
    <w:link w:val="EndNoteBibliographyChar"/>
    <w:rsid w:val="00E556EA"/>
    <w:pPr>
      <w:spacing w:line="240" w:lineRule="auto"/>
    </w:pPr>
    <w:rPr>
      <w:rFonts w:cs="Times New Roman"/>
      <w:noProof/>
    </w:rPr>
  </w:style>
  <w:style w:type="character" w:customStyle="1" w:styleId="EndNoteBibliographyChar">
    <w:name w:val="EndNote Bibliography Char"/>
    <w:basedOn w:val="DefaultParagraphFont"/>
    <w:link w:val="EndNoteBibliography"/>
    <w:rsid w:val="00E556EA"/>
    <w:rPr>
      <w:rFonts w:eastAsiaTheme="minorEastAsia"/>
      <w:noProof/>
      <w:lang w:eastAsia="en-GB"/>
    </w:rPr>
  </w:style>
  <w:style w:type="table" w:customStyle="1" w:styleId="TableGrid3">
    <w:name w:val="Table Grid3"/>
    <w:basedOn w:val="TableNormal"/>
    <w:next w:val="TableGrid"/>
    <w:uiPriority w:val="39"/>
    <w:rsid w:val="00E556EA"/>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55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401F"/>
    <w:pPr>
      <w:ind w:left="720"/>
      <w:contextualSpacing/>
    </w:pPr>
  </w:style>
  <w:style w:type="paragraph" w:styleId="Header">
    <w:name w:val="header"/>
    <w:basedOn w:val="Normal"/>
    <w:link w:val="HeaderChar"/>
    <w:uiPriority w:val="99"/>
    <w:unhideWhenUsed/>
    <w:rsid w:val="00FC239A"/>
    <w:pPr>
      <w:tabs>
        <w:tab w:val="center" w:pos="4513"/>
        <w:tab w:val="right" w:pos="9026"/>
      </w:tabs>
      <w:spacing w:line="240" w:lineRule="auto"/>
    </w:pPr>
  </w:style>
  <w:style w:type="character" w:customStyle="1" w:styleId="HeaderChar">
    <w:name w:val="Header Char"/>
    <w:basedOn w:val="DefaultParagraphFont"/>
    <w:link w:val="Header"/>
    <w:uiPriority w:val="99"/>
    <w:rsid w:val="00FC239A"/>
    <w:rPr>
      <w:rFonts w:eastAsiaTheme="minorEastAsia" w:cstheme="minorBidi"/>
      <w:lang w:eastAsia="en-GB"/>
    </w:rPr>
  </w:style>
  <w:style w:type="paragraph" w:styleId="Footer">
    <w:name w:val="footer"/>
    <w:basedOn w:val="Normal"/>
    <w:link w:val="FooterChar"/>
    <w:uiPriority w:val="99"/>
    <w:unhideWhenUsed/>
    <w:rsid w:val="00FC239A"/>
    <w:pPr>
      <w:tabs>
        <w:tab w:val="center" w:pos="4513"/>
        <w:tab w:val="right" w:pos="9026"/>
      </w:tabs>
      <w:spacing w:line="240" w:lineRule="auto"/>
    </w:pPr>
  </w:style>
  <w:style w:type="character" w:customStyle="1" w:styleId="FooterChar">
    <w:name w:val="Footer Char"/>
    <w:basedOn w:val="DefaultParagraphFont"/>
    <w:link w:val="Footer"/>
    <w:uiPriority w:val="99"/>
    <w:rsid w:val="00FC239A"/>
    <w:rPr>
      <w:rFonts w:eastAsiaTheme="minorEastAsia" w:cstheme="minorBidi"/>
      <w:lang w:eastAsia="en-GB"/>
    </w:rPr>
  </w:style>
  <w:style w:type="character" w:styleId="PlaceholderText">
    <w:name w:val="Placeholder Text"/>
    <w:basedOn w:val="DefaultParagraphFont"/>
    <w:uiPriority w:val="99"/>
    <w:semiHidden/>
    <w:rsid w:val="00DE61C0"/>
    <w:rPr>
      <w:color w:val="808080"/>
    </w:rPr>
  </w:style>
  <w:style w:type="character" w:styleId="Hyperlink">
    <w:name w:val="Hyperlink"/>
    <w:basedOn w:val="DefaultParagraphFont"/>
    <w:uiPriority w:val="99"/>
    <w:unhideWhenUsed/>
    <w:rsid w:val="00C4177F"/>
    <w:rPr>
      <w:color w:val="0563C1" w:themeColor="hyperlink"/>
      <w:u w:val="single"/>
    </w:rPr>
  </w:style>
  <w:style w:type="character" w:customStyle="1" w:styleId="apple-converted-space">
    <w:name w:val="apple-converted-space"/>
    <w:basedOn w:val="DefaultParagraphFont"/>
    <w:rsid w:val="00DD135C"/>
  </w:style>
  <w:style w:type="character" w:styleId="Strong">
    <w:name w:val="Strong"/>
    <w:basedOn w:val="DefaultParagraphFont"/>
    <w:uiPriority w:val="22"/>
    <w:qFormat/>
    <w:rsid w:val="00DD135C"/>
    <w:rPr>
      <w:b/>
      <w:bCs/>
    </w:rPr>
  </w:style>
  <w:style w:type="paragraph" w:styleId="NormalWeb">
    <w:name w:val="Normal (Web)"/>
    <w:basedOn w:val="Normal"/>
    <w:uiPriority w:val="99"/>
    <w:semiHidden/>
    <w:unhideWhenUsed/>
    <w:rsid w:val="00396A9E"/>
    <w:pPr>
      <w:spacing w:before="100" w:beforeAutospacing="1" w:after="100" w:afterAutospacing="1" w:line="240" w:lineRule="auto"/>
    </w:pPr>
    <w:rPr>
      <w:rFonts w:cs="Times New Roman"/>
      <w:szCs w:val="24"/>
    </w:rPr>
  </w:style>
  <w:style w:type="character" w:styleId="CommentReference">
    <w:name w:val="annotation reference"/>
    <w:basedOn w:val="DefaultParagraphFont"/>
    <w:uiPriority w:val="99"/>
    <w:semiHidden/>
    <w:unhideWhenUsed/>
    <w:rsid w:val="00397473"/>
    <w:rPr>
      <w:sz w:val="16"/>
      <w:szCs w:val="16"/>
    </w:rPr>
  </w:style>
  <w:style w:type="paragraph" w:styleId="CommentText">
    <w:name w:val="annotation text"/>
    <w:basedOn w:val="Normal"/>
    <w:link w:val="CommentTextChar"/>
    <w:uiPriority w:val="99"/>
    <w:semiHidden/>
    <w:unhideWhenUsed/>
    <w:rsid w:val="00397473"/>
    <w:pPr>
      <w:spacing w:after="160" w:line="240" w:lineRule="auto"/>
    </w:pPr>
    <w:rPr>
      <w:rFonts w:asciiTheme="minorHAnsi" w:hAnsiTheme="minorHAnsi"/>
      <w:sz w:val="20"/>
      <w:szCs w:val="20"/>
      <w:lang w:val="en-US" w:eastAsia="zh-TW"/>
    </w:rPr>
  </w:style>
  <w:style w:type="character" w:customStyle="1" w:styleId="CommentTextChar">
    <w:name w:val="Comment Text Char"/>
    <w:basedOn w:val="DefaultParagraphFont"/>
    <w:link w:val="CommentText"/>
    <w:uiPriority w:val="99"/>
    <w:semiHidden/>
    <w:rsid w:val="00397473"/>
    <w:rPr>
      <w:rFonts w:asciiTheme="minorHAnsi" w:eastAsiaTheme="minorEastAsia" w:hAnsiTheme="minorHAnsi" w:cstheme="minorBidi"/>
      <w:sz w:val="20"/>
      <w:szCs w:val="20"/>
      <w:lang w:val="en-US" w:eastAsia="zh-TW"/>
    </w:rPr>
  </w:style>
  <w:style w:type="paragraph" w:styleId="BalloonText">
    <w:name w:val="Balloon Text"/>
    <w:basedOn w:val="Normal"/>
    <w:link w:val="BalloonTextChar"/>
    <w:uiPriority w:val="99"/>
    <w:semiHidden/>
    <w:unhideWhenUsed/>
    <w:rsid w:val="0039747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473"/>
    <w:rPr>
      <w:rFonts w:ascii="Segoe UI" w:eastAsiaTheme="minorEastAsia" w:hAnsi="Segoe UI" w:cs="Segoe UI"/>
      <w:sz w:val="18"/>
      <w:szCs w:val="18"/>
      <w:lang w:eastAsia="en-GB"/>
    </w:rPr>
  </w:style>
  <w:style w:type="paragraph" w:customStyle="1" w:styleId="Body">
    <w:name w:val="Body"/>
    <w:rsid w:val="00397473"/>
    <w:pPr>
      <w:pBdr>
        <w:top w:val="nil"/>
        <w:left w:val="nil"/>
        <w:bottom w:val="nil"/>
        <w:right w:val="nil"/>
        <w:between w:val="nil"/>
        <w:bar w:val="nil"/>
      </w:pBdr>
    </w:pPr>
    <w:rPr>
      <w:rFonts w:ascii="Calibri" w:eastAsia="Calibri" w:hAnsi="Calibri" w:cs="Calibri"/>
      <w:color w:val="000000"/>
      <w:sz w:val="22"/>
      <w:u w:color="000000"/>
      <w:bdr w:val="nil"/>
      <w:lang w:val="en-US" w:eastAsia="zh-TW"/>
    </w:rPr>
  </w:style>
  <w:style w:type="paragraph" w:styleId="CommentSubject">
    <w:name w:val="annotation subject"/>
    <w:basedOn w:val="CommentText"/>
    <w:next w:val="CommentText"/>
    <w:link w:val="CommentSubjectChar"/>
    <w:uiPriority w:val="99"/>
    <w:semiHidden/>
    <w:unhideWhenUsed/>
    <w:rsid w:val="00F865DB"/>
    <w:pPr>
      <w:spacing w:after="0"/>
    </w:pPr>
    <w:rPr>
      <w:rFonts w:ascii="Times New Roman" w:hAnsi="Times New Roman"/>
      <w:b/>
      <w:bCs/>
      <w:lang w:val="en-GB" w:eastAsia="en-GB"/>
    </w:rPr>
  </w:style>
  <w:style w:type="character" w:customStyle="1" w:styleId="CommentSubjectChar">
    <w:name w:val="Comment Subject Char"/>
    <w:basedOn w:val="CommentTextChar"/>
    <w:link w:val="CommentSubject"/>
    <w:uiPriority w:val="99"/>
    <w:semiHidden/>
    <w:rsid w:val="00F865DB"/>
    <w:rPr>
      <w:rFonts w:asciiTheme="minorHAnsi" w:eastAsiaTheme="minorEastAsia" w:hAnsiTheme="minorHAnsi" w:cstheme="minorBidi"/>
      <w:b/>
      <w:bCs/>
      <w:sz w:val="20"/>
      <w:szCs w:val="20"/>
      <w:lang w:val="en-US" w:eastAsia="en-GB"/>
    </w:rPr>
  </w:style>
  <w:style w:type="character" w:customStyle="1" w:styleId="il">
    <w:name w:val="il"/>
    <w:basedOn w:val="DefaultParagraphFont"/>
    <w:rsid w:val="0075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76609">
      <w:bodyDiv w:val="1"/>
      <w:marLeft w:val="0"/>
      <w:marRight w:val="0"/>
      <w:marTop w:val="0"/>
      <w:marBottom w:val="0"/>
      <w:divBdr>
        <w:top w:val="none" w:sz="0" w:space="0" w:color="auto"/>
        <w:left w:val="none" w:sz="0" w:space="0" w:color="auto"/>
        <w:bottom w:val="none" w:sz="0" w:space="0" w:color="auto"/>
        <w:right w:val="none" w:sz="0" w:space="0" w:color="auto"/>
      </w:divBdr>
    </w:div>
    <w:div w:id="107824566">
      <w:bodyDiv w:val="1"/>
      <w:marLeft w:val="0"/>
      <w:marRight w:val="0"/>
      <w:marTop w:val="0"/>
      <w:marBottom w:val="0"/>
      <w:divBdr>
        <w:top w:val="none" w:sz="0" w:space="0" w:color="auto"/>
        <w:left w:val="none" w:sz="0" w:space="0" w:color="auto"/>
        <w:bottom w:val="none" w:sz="0" w:space="0" w:color="auto"/>
        <w:right w:val="none" w:sz="0" w:space="0" w:color="auto"/>
      </w:divBdr>
    </w:div>
    <w:div w:id="163202101">
      <w:bodyDiv w:val="1"/>
      <w:marLeft w:val="0"/>
      <w:marRight w:val="0"/>
      <w:marTop w:val="0"/>
      <w:marBottom w:val="0"/>
      <w:divBdr>
        <w:top w:val="none" w:sz="0" w:space="0" w:color="auto"/>
        <w:left w:val="none" w:sz="0" w:space="0" w:color="auto"/>
        <w:bottom w:val="none" w:sz="0" w:space="0" w:color="auto"/>
        <w:right w:val="none" w:sz="0" w:space="0" w:color="auto"/>
      </w:divBdr>
    </w:div>
    <w:div w:id="179197487">
      <w:bodyDiv w:val="1"/>
      <w:marLeft w:val="0"/>
      <w:marRight w:val="0"/>
      <w:marTop w:val="0"/>
      <w:marBottom w:val="0"/>
      <w:divBdr>
        <w:top w:val="none" w:sz="0" w:space="0" w:color="auto"/>
        <w:left w:val="none" w:sz="0" w:space="0" w:color="auto"/>
        <w:bottom w:val="none" w:sz="0" w:space="0" w:color="auto"/>
        <w:right w:val="none" w:sz="0" w:space="0" w:color="auto"/>
      </w:divBdr>
    </w:div>
    <w:div w:id="269515579">
      <w:bodyDiv w:val="1"/>
      <w:marLeft w:val="0"/>
      <w:marRight w:val="0"/>
      <w:marTop w:val="0"/>
      <w:marBottom w:val="0"/>
      <w:divBdr>
        <w:top w:val="none" w:sz="0" w:space="0" w:color="auto"/>
        <w:left w:val="none" w:sz="0" w:space="0" w:color="auto"/>
        <w:bottom w:val="none" w:sz="0" w:space="0" w:color="auto"/>
        <w:right w:val="none" w:sz="0" w:space="0" w:color="auto"/>
      </w:divBdr>
    </w:div>
    <w:div w:id="305472707">
      <w:bodyDiv w:val="1"/>
      <w:marLeft w:val="0"/>
      <w:marRight w:val="0"/>
      <w:marTop w:val="0"/>
      <w:marBottom w:val="0"/>
      <w:divBdr>
        <w:top w:val="none" w:sz="0" w:space="0" w:color="auto"/>
        <w:left w:val="none" w:sz="0" w:space="0" w:color="auto"/>
        <w:bottom w:val="none" w:sz="0" w:space="0" w:color="auto"/>
        <w:right w:val="none" w:sz="0" w:space="0" w:color="auto"/>
      </w:divBdr>
    </w:div>
    <w:div w:id="401411793">
      <w:bodyDiv w:val="1"/>
      <w:marLeft w:val="0"/>
      <w:marRight w:val="0"/>
      <w:marTop w:val="0"/>
      <w:marBottom w:val="0"/>
      <w:divBdr>
        <w:top w:val="none" w:sz="0" w:space="0" w:color="auto"/>
        <w:left w:val="none" w:sz="0" w:space="0" w:color="auto"/>
        <w:bottom w:val="none" w:sz="0" w:space="0" w:color="auto"/>
        <w:right w:val="none" w:sz="0" w:space="0" w:color="auto"/>
      </w:divBdr>
    </w:div>
    <w:div w:id="432555798">
      <w:bodyDiv w:val="1"/>
      <w:marLeft w:val="0"/>
      <w:marRight w:val="0"/>
      <w:marTop w:val="0"/>
      <w:marBottom w:val="0"/>
      <w:divBdr>
        <w:top w:val="none" w:sz="0" w:space="0" w:color="auto"/>
        <w:left w:val="none" w:sz="0" w:space="0" w:color="auto"/>
        <w:bottom w:val="none" w:sz="0" w:space="0" w:color="auto"/>
        <w:right w:val="none" w:sz="0" w:space="0" w:color="auto"/>
      </w:divBdr>
    </w:div>
    <w:div w:id="546524630">
      <w:bodyDiv w:val="1"/>
      <w:marLeft w:val="0"/>
      <w:marRight w:val="0"/>
      <w:marTop w:val="0"/>
      <w:marBottom w:val="0"/>
      <w:divBdr>
        <w:top w:val="none" w:sz="0" w:space="0" w:color="auto"/>
        <w:left w:val="none" w:sz="0" w:space="0" w:color="auto"/>
        <w:bottom w:val="none" w:sz="0" w:space="0" w:color="auto"/>
        <w:right w:val="none" w:sz="0" w:space="0" w:color="auto"/>
      </w:divBdr>
    </w:div>
    <w:div w:id="701128069">
      <w:bodyDiv w:val="1"/>
      <w:marLeft w:val="0"/>
      <w:marRight w:val="0"/>
      <w:marTop w:val="0"/>
      <w:marBottom w:val="0"/>
      <w:divBdr>
        <w:top w:val="none" w:sz="0" w:space="0" w:color="auto"/>
        <w:left w:val="none" w:sz="0" w:space="0" w:color="auto"/>
        <w:bottom w:val="none" w:sz="0" w:space="0" w:color="auto"/>
        <w:right w:val="none" w:sz="0" w:space="0" w:color="auto"/>
      </w:divBdr>
    </w:div>
    <w:div w:id="702630357">
      <w:bodyDiv w:val="1"/>
      <w:marLeft w:val="0"/>
      <w:marRight w:val="0"/>
      <w:marTop w:val="0"/>
      <w:marBottom w:val="0"/>
      <w:divBdr>
        <w:top w:val="none" w:sz="0" w:space="0" w:color="auto"/>
        <w:left w:val="none" w:sz="0" w:space="0" w:color="auto"/>
        <w:bottom w:val="none" w:sz="0" w:space="0" w:color="auto"/>
        <w:right w:val="none" w:sz="0" w:space="0" w:color="auto"/>
      </w:divBdr>
    </w:div>
    <w:div w:id="865480415">
      <w:bodyDiv w:val="1"/>
      <w:marLeft w:val="0"/>
      <w:marRight w:val="0"/>
      <w:marTop w:val="0"/>
      <w:marBottom w:val="0"/>
      <w:divBdr>
        <w:top w:val="none" w:sz="0" w:space="0" w:color="auto"/>
        <w:left w:val="none" w:sz="0" w:space="0" w:color="auto"/>
        <w:bottom w:val="none" w:sz="0" w:space="0" w:color="auto"/>
        <w:right w:val="none" w:sz="0" w:space="0" w:color="auto"/>
      </w:divBdr>
    </w:div>
    <w:div w:id="868494020">
      <w:bodyDiv w:val="1"/>
      <w:marLeft w:val="0"/>
      <w:marRight w:val="0"/>
      <w:marTop w:val="0"/>
      <w:marBottom w:val="0"/>
      <w:divBdr>
        <w:top w:val="none" w:sz="0" w:space="0" w:color="auto"/>
        <w:left w:val="none" w:sz="0" w:space="0" w:color="auto"/>
        <w:bottom w:val="none" w:sz="0" w:space="0" w:color="auto"/>
        <w:right w:val="none" w:sz="0" w:space="0" w:color="auto"/>
      </w:divBdr>
    </w:div>
    <w:div w:id="888417672">
      <w:bodyDiv w:val="1"/>
      <w:marLeft w:val="0"/>
      <w:marRight w:val="0"/>
      <w:marTop w:val="0"/>
      <w:marBottom w:val="0"/>
      <w:divBdr>
        <w:top w:val="none" w:sz="0" w:space="0" w:color="auto"/>
        <w:left w:val="none" w:sz="0" w:space="0" w:color="auto"/>
        <w:bottom w:val="none" w:sz="0" w:space="0" w:color="auto"/>
        <w:right w:val="none" w:sz="0" w:space="0" w:color="auto"/>
      </w:divBdr>
    </w:div>
    <w:div w:id="989165005">
      <w:bodyDiv w:val="1"/>
      <w:marLeft w:val="0"/>
      <w:marRight w:val="0"/>
      <w:marTop w:val="0"/>
      <w:marBottom w:val="0"/>
      <w:divBdr>
        <w:top w:val="none" w:sz="0" w:space="0" w:color="auto"/>
        <w:left w:val="none" w:sz="0" w:space="0" w:color="auto"/>
        <w:bottom w:val="none" w:sz="0" w:space="0" w:color="auto"/>
        <w:right w:val="none" w:sz="0" w:space="0" w:color="auto"/>
      </w:divBdr>
    </w:div>
    <w:div w:id="1045566772">
      <w:bodyDiv w:val="1"/>
      <w:marLeft w:val="0"/>
      <w:marRight w:val="0"/>
      <w:marTop w:val="0"/>
      <w:marBottom w:val="0"/>
      <w:divBdr>
        <w:top w:val="none" w:sz="0" w:space="0" w:color="auto"/>
        <w:left w:val="none" w:sz="0" w:space="0" w:color="auto"/>
        <w:bottom w:val="none" w:sz="0" w:space="0" w:color="auto"/>
        <w:right w:val="none" w:sz="0" w:space="0" w:color="auto"/>
      </w:divBdr>
    </w:div>
    <w:div w:id="1078404219">
      <w:bodyDiv w:val="1"/>
      <w:marLeft w:val="0"/>
      <w:marRight w:val="0"/>
      <w:marTop w:val="0"/>
      <w:marBottom w:val="0"/>
      <w:divBdr>
        <w:top w:val="none" w:sz="0" w:space="0" w:color="auto"/>
        <w:left w:val="none" w:sz="0" w:space="0" w:color="auto"/>
        <w:bottom w:val="none" w:sz="0" w:space="0" w:color="auto"/>
        <w:right w:val="none" w:sz="0" w:space="0" w:color="auto"/>
      </w:divBdr>
    </w:div>
    <w:div w:id="1093627503">
      <w:bodyDiv w:val="1"/>
      <w:marLeft w:val="0"/>
      <w:marRight w:val="0"/>
      <w:marTop w:val="0"/>
      <w:marBottom w:val="0"/>
      <w:divBdr>
        <w:top w:val="none" w:sz="0" w:space="0" w:color="auto"/>
        <w:left w:val="none" w:sz="0" w:space="0" w:color="auto"/>
        <w:bottom w:val="none" w:sz="0" w:space="0" w:color="auto"/>
        <w:right w:val="none" w:sz="0" w:space="0" w:color="auto"/>
      </w:divBdr>
    </w:div>
    <w:div w:id="1160538413">
      <w:bodyDiv w:val="1"/>
      <w:marLeft w:val="0"/>
      <w:marRight w:val="0"/>
      <w:marTop w:val="0"/>
      <w:marBottom w:val="0"/>
      <w:divBdr>
        <w:top w:val="none" w:sz="0" w:space="0" w:color="auto"/>
        <w:left w:val="none" w:sz="0" w:space="0" w:color="auto"/>
        <w:bottom w:val="none" w:sz="0" w:space="0" w:color="auto"/>
        <w:right w:val="none" w:sz="0" w:space="0" w:color="auto"/>
      </w:divBdr>
    </w:div>
    <w:div w:id="1325667671">
      <w:bodyDiv w:val="1"/>
      <w:marLeft w:val="0"/>
      <w:marRight w:val="0"/>
      <w:marTop w:val="0"/>
      <w:marBottom w:val="0"/>
      <w:divBdr>
        <w:top w:val="none" w:sz="0" w:space="0" w:color="auto"/>
        <w:left w:val="none" w:sz="0" w:space="0" w:color="auto"/>
        <w:bottom w:val="none" w:sz="0" w:space="0" w:color="auto"/>
        <w:right w:val="none" w:sz="0" w:space="0" w:color="auto"/>
      </w:divBdr>
    </w:div>
    <w:div w:id="1425305334">
      <w:bodyDiv w:val="1"/>
      <w:marLeft w:val="0"/>
      <w:marRight w:val="0"/>
      <w:marTop w:val="0"/>
      <w:marBottom w:val="0"/>
      <w:divBdr>
        <w:top w:val="none" w:sz="0" w:space="0" w:color="auto"/>
        <w:left w:val="none" w:sz="0" w:space="0" w:color="auto"/>
        <w:bottom w:val="none" w:sz="0" w:space="0" w:color="auto"/>
        <w:right w:val="none" w:sz="0" w:space="0" w:color="auto"/>
      </w:divBdr>
    </w:div>
    <w:div w:id="1549145496">
      <w:bodyDiv w:val="1"/>
      <w:marLeft w:val="0"/>
      <w:marRight w:val="0"/>
      <w:marTop w:val="0"/>
      <w:marBottom w:val="0"/>
      <w:divBdr>
        <w:top w:val="none" w:sz="0" w:space="0" w:color="auto"/>
        <w:left w:val="none" w:sz="0" w:space="0" w:color="auto"/>
        <w:bottom w:val="none" w:sz="0" w:space="0" w:color="auto"/>
        <w:right w:val="none" w:sz="0" w:space="0" w:color="auto"/>
      </w:divBdr>
    </w:div>
    <w:div w:id="1553231621">
      <w:bodyDiv w:val="1"/>
      <w:marLeft w:val="0"/>
      <w:marRight w:val="0"/>
      <w:marTop w:val="0"/>
      <w:marBottom w:val="0"/>
      <w:divBdr>
        <w:top w:val="none" w:sz="0" w:space="0" w:color="auto"/>
        <w:left w:val="none" w:sz="0" w:space="0" w:color="auto"/>
        <w:bottom w:val="none" w:sz="0" w:space="0" w:color="auto"/>
        <w:right w:val="none" w:sz="0" w:space="0" w:color="auto"/>
      </w:divBdr>
    </w:div>
    <w:div w:id="1653635636">
      <w:bodyDiv w:val="1"/>
      <w:marLeft w:val="0"/>
      <w:marRight w:val="0"/>
      <w:marTop w:val="0"/>
      <w:marBottom w:val="0"/>
      <w:divBdr>
        <w:top w:val="none" w:sz="0" w:space="0" w:color="auto"/>
        <w:left w:val="none" w:sz="0" w:space="0" w:color="auto"/>
        <w:bottom w:val="none" w:sz="0" w:space="0" w:color="auto"/>
        <w:right w:val="none" w:sz="0" w:space="0" w:color="auto"/>
      </w:divBdr>
    </w:div>
    <w:div w:id="1691292799">
      <w:bodyDiv w:val="1"/>
      <w:marLeft w:val="0"/>
      <w:marRight w:val="0"/>
      <w:marTop w:val="0"/>
      <w:marBottom w:val="0"/>
      <w:divBdr>
        <w:top w:val="none" w:sz="0" w:space="0" w:color="auto"/>
        <w:left w:val="none" w:sz="0" w:space="0" w:color="auto"/>
        <w:bottom w:val="none" w:sz="0" w:space="0" w:color="auto"/>
        <w:right w:val="none" w:sz="0" w:space="0" w:color="auto"/>
      </w:divBdr>
    </w:div>
    <w:div w:id="1746024005">
      <w:bodyDiv w:val="1"/>
      <w:marLeft w:val="0"/>
      <w:marRight w:val="0"/>
      <w:marTop w:val="0"/>
      <w:marBottom w:val="0"/>
      <w:divBdr>
        <w:top w:val="none" w:sz="0" w:space="0" w:color="auto"/>
        <w:left w:val="none" w:sz="0" w:space="0" w:color="auto"/>
        <w:bottom w:val="none" w:sz="0" w:space="0" w:color="auto"/>
        <w:right w:val="none" w:sz="0" w:space="0" w:color="auto"/>
      </w:divBdr>
    </w:div>
    <w:div w:id="2029596717">
      <w:bodyDiv w:val="1"/>
      <w:marLeft w:val="0"/>
      <w:marRight w:val="0"/>
      <w:marTop w:val="0"/>
      <w:marBottom w:val="0"/>
      <w:divBdr>
        <w:top w:val="none" w:sz="0" w:space="0" w:color="auto"/>
        <w:left w:val="none" w:sz="0" w:space="0" w:color="auto"/>
        <w:bottom w:val="none" w:sz="0" w:space="0" w:color="auto"/>
        <w:right w:val="none" w:sz="0" w:space="0" w:color="auto"/>
      </w:divBdr>
    </w:div>
    <w:div w:id="2058502377">
      <w:bodyDiv w:val="1"/>
      <w:marLeft w:val="0"/>
      <w:marRight w:val="0"/>
      <w:marTop w:val="0"/>
      <w:marBottom w:val="0"/>
      <w:divBdr>
        <w:top w:val="none" w:sz="0" w:space="0" w:color="auto"/>
        <w:left w:val="none" w:sz="0" w:space="0" w:color="auto"/>
        <w:bottom w:val="none" w:sz="0" w:space="0" w:color="auto"/>
        <w:right w:val="none" w:sz="0" w:space="0" w:color="auto"/>
      </w:divBdr>
    </w:div>
    <w:div w:id="214226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hyperlink" Target="http://content.digital.nhs.uk/catalogue/PUB03906/hosp-epis-stat-admi-head-figs-02-03-rep.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hyperlink" Target="http://content.digital.nhs.uk/catalogue/PUB19124/hosp-epis-stat-admi-dq-note-2014-15-rep.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1EB3B-9782-D345-B0FF-74D6FCFB7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TotalTime>
  <Pages>24</Pages>
  <Words>4178</Words>
  <Characters>23819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Thaison Tong</dc:creator>
  <cp:keywords/>
  <dc:description/>
  <cp:lastModifiedBy>Jonathan Michaels</cp:lastModifiedBy>
  <cp:revision>30</cp:revision>
  <dcterms:created xsi:type="dcterms:W3CDTF">2018-05-09T14:00:00Z</dcterms:created>
  <dcterms:modified xsi:type="dcterms:W3CDTF">2019-05-31T07:19:00Z</dcterms:modified>
</cp:coreProperties>
</file>