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8EF" w:rsidRPr="00034540" w:rsidRDefault="00AF68EF" w:rsidP="00AF68EF">
      <w:pPr>
        <w:pStyle w:val="Caption"/>
        <w:rPr>
          <w:rFonts w:asciiTheme="minorHAnsi" w:hAnsiTheme="minorHAnsi"/>
          <w:b w:val="0"/>
        </w:rPr>
      </w:pPr>
      <w:bookmarkStart w:id="0" w:name="_Toc860670"/>
      <w:r>
        <w:t xml:space="preserve">Supplementary Material File </w:t>
      </w:r>
      <w:r>
        <w:rPr>
          <w:noProof/>
        </w:rPr>
        <w:t>7</w:t>
      </w:r>
      <w:r>
        <w:t xml:space="preserve">: </w:t>
      </w:r>
      <w:r w:rsidRPr="005D66B6">
        <w:t>Summary data at baseline and follow-up for neighbourhood perception scores and built environment variables, overall and by housing sector</w:t>
      </w:r>
      <w:bookmarkEnd w:id="0"/>
    </w:p>
    <w:tbl>
      <w:tblPr>
        <w:tblW w:w="13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43"/>
        <w:gridCol w:w="533"/>
        <w:gridCol w:w="528"/>
        <w:gridCol w:w="749"/>
        <w:gridCol w:w="743"/>
        <w:gridCol w:w="749"/>
        <w:gridCol w:w="528"/>
        <w:gridCol w:w="749"/>
        <w:gridCol w:w="743"/>
        <w:gridCol w:w="749"/>
        <w:gridCol w:w="528"/>
        <w:gridCol w:w="749"/>
        <w:gridCol w:w="743"/>
        <w:gridCol w:w="749"/>
        <w:gridCol w:w="528"/>
        <w:gridCol w:w="749"/>
      </w:tblGrid>
      <w:tr w:rsidR="00AF68EF" w:rsidRPr="00034540" w:rsidTr="009D705C">
        <w:trPr>
          <w:trHeight w:val="227"/>
        </w:trPr>
        <w:tc>
          <w:tcPr>
            <w:tcW w:w="2977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3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All housing sectors</w:t>
            </w:r>
          </w:p>
        </w:tc>
        <w:tc>
          <w:tcPr>
            <w:tcW w:w="2769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Social</w:t>
            </w:r>
          </w:p>
        </w:tc>
        <w:tc>
          <w:tcPr>
            <w:tcW w:w="2769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Intermediate</w:t>
            </w:r>
          </w:p>
        </w:tc>
        <w:tc>
          <w:tcPr>
            <w:tcW w:w="2769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Market-rent</w:t>
            </w:r>
          </w:p>
        </w:tc>
      </w:tr>
      <w:tr w:rsidR="00AF68EF" w:rsidRPr="00034540" w:rsidTr="009D705C">
        <w:trPr>
          <w:trHeight w:val="227"/>
        </w:trPr>
        <w:tc>
          <w:tcPr>
            <w:tcW w:w="2977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Baseline</w:t>
            </w:r>
          </w:p>
        </w:tc>
        <w:tc>
          <w:tcPr>
            <w:tcW w:w="1277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Follow-up</w:t>
            </w:r>
          </w:p>
        </w:tc>
        <w:tc>
          <w:tcPr>
            <w:tcW w:w="14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Baseline</w:t>
            </w:r>
          </w:p>
        </w:tc>
        <w:tc>
          <w:tcPr>
            <w:tcW w:w="1277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Follow-up</w:t>
            </w:r>
          </w:p>
        </w:tc>
        <w:tc>
          <w:tcPr>
            <w:tcW w:w="14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Baseline</w:t>
            </w:r>
          </w:p>
        </w:tc>
        <w:tc>
          <w:tcPr>
            <w:tcW w:w="1277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Follow-up</w:t>
            </w:r>
          </w:p>
        </w:tc>
        <w:tc>
          <w:tcPr>
            <w:tcW w:w="14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Baseline</w:t>
            </w:r>
          </w:p>
        </w:tc>
        <w:tc>
          <w:tcPr>
            <w:tcW w:w="1277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Follow-up</w:t>
            </w:r>
          </w:p>
        </w:tc>
      </w:tr>
      <w:tr w:rsidR="00AF68EF" w:rsidRPr="00034540" w:rsidTr="009D705C">
        <w:trPr>
          <w:trHeight w:val="22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(sd)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(sd)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(sd)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(sd)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(sd)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(sd)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(sd)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(sd)</w:t>
            </w:r>
          </w:p>
        </w:tc>
      </w:tr>
      <w:tr w:rsidR="00AF68EF" w:rsidRPr="00034540" w:rsidTr="009D705C">
        <w:trPr>
          <w:trHeight w:val="227"/>
        </w:trPr>
        <w:tc>
          <w:tcPr>
            <w:tcW w:w="372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Neighbourhood perception scores </w:t>
            </w: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F68EF" w:rsidRPr="00034540" w:rsidTr="009D705C">
        <w:trPr>
          <w:trHeight w:val="227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Control group</w:t>
            </w:r>
          </w:p>
        </w:tc>
        <w:tc>
          <w:tcPr>
            <w:tcW w:w="6814" w:type="dxa"/>
            <w:gridSpan w:val="10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0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6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F68EF" w:rsidRPr="00034540" w:rsidTr="009D705C">
        <w:trPr>
          <w:trHeight w:val="227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436</w:t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436</w:t>
            </w:r>
          </w:p>
        </w:tc>
        <w:tc>
          <w:tcPr>
            <w:tcW w:w="149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149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49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109</w:t>
            </w:r>
          </w:p>
        </w:tc>
      </w:tr>
      <w:tr w:rsidR="00AF68EF" w:rsidRPr="00034540" w:rsidTr="009D705C">
        <w:trPr>
          <w:trHeight w:val="227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Crime score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53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(4.2)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(4.1)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(4.7)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(4.4)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(3.8)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(4.0)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(3.8)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(3.6)</w:t>
            </w:r>
          </w:p>
        </w:tc>
      </w:tr>
      <w:tr w:rsidR="00AF68EF" w:rsidRPr="00034540" w:rsidTr="009D705C">
        <w:trPr>
          <w:trHeight w:val="227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Quality score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53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(4.5)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(4.1)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(4.5)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(4.2)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(4.5)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(4.1)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(4.3)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5.8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(4.0)</w:t>
            </w:r>
          </w:p>
        </w:tc>
      </w:tr>
      <w:tr w:rsidR="00AF68EF" w:rsidRPr="00034540" w:rsidTr="009D705C">
        <w:trPr>
          <w:trHeight w:val="227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F68EF" w:rsidRPr="00034540" w:rsidTr="009D705C">
        <w:trPr>
          <w:trHeight w:val="227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East Village group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F68EF" w:rsidRPr="00034540" w:rsidTr="009D705C">
        <w:trPr>
          <w:trHeight w:val="227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441</w:t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441</w:t>
            </w:r>
          </w:p>
        </w:tc>
        <w:tc>
          <w:tcPr>
            <w:tcW w:w="149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49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174</w:t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174</w:t>
            </w:r>
          </w:p>
        </w:tc>
        <w:tc>
          <w:tcPr>
            <w:tcW w:w="149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47</w:t>
            </w:r>
          </w:p>
        </w:tc>
      </w:tr>
      <w:tr w:rsidR="00AF68EF" w:rsidRPr="00034540" w:rsidTr="009D705C">
        <w:trPr>
          <w:trHeight w:val="227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Crime score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53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(4.6)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6.2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(3.3)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(4.5)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5.9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(3.7)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(4.1)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6.5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(2.9)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(4.4)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6.5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(2.8)</w:t>
            </w:r>
          </w:p>
        </w:tc>
      </w:tr>
      <w:tr w:rsidR="00AF68EF" w:rsidRPr="00034540" w:rsidTr="009D705C">
        <w:trPr>
          <w:trHeight w:val="227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Quality score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53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(4.4)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9.5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(2.7)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(4.5)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8.8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(3.1)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(4.3)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10.1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(2.2)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(3.8)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10.3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(1.9)</w:t>
            </w:r>
          </w:p>
        </w:tc>
      </w:tr>
      <w:tr w:rsidR="00AF68EF" w:rsidRPr="00034540" w:rsidTr="009D705C">
        <w:trPr>
          <w:trHeight w:val="227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F68EF" w:rsidRPr="00034540" w:rsidTr="009D705C">
        <w:trPr>
          <w:trHeight w:val="227"/>
        </w:trPr>
        <w:tc>
          <w:tcPr>
            <w:tcW w:w="37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Built environment characteristics</w:t>
            </w:r>
          </w:p>
        </w:tc>
        <w:tc>
          <w:tcPr>
            <w:tcW w:w="53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F68EF" w:rsidRPr="00034540" w:rsidTr="009D705C">
        <w:trPr>
          <w:trHeight w:val="227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Control group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F68EF" w:rsidRPr="00034540" w:rsidTr="009D705C">
        <w:trPr>
          <w:trHeight w:val="227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406</w:t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149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49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188</w:t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49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85</w:t>
            </w:r>
          </w:p>
        </w:tc>
      </w:tr>
      <w:tr w:rsidR="00AF68EF" w:rsidRPr="00034540" w:rsidTr="009D705C">
        <w:trPr>
          <w:trHeight w:val="227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tabs>
                <w:tab w:val="left" w:pos="25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Distance to closest park (m) </w:t>
            </w: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666</w:t>
            </w:r>
          </w:p>
        </w:tc>
        <w:tc>
          <w:tcPr>
            <w:tcW w:w="53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(410)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671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(411)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597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(339)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588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(287)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712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(445)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720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(465)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665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(415)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685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(426)</w:t>
            </w:r>
          </w:p>
        </w:tc>
      </w:tr>
      <w:tr w:rsidR="00AF68EF" w:rsidRPr="00034540" w:rsidTr="009D705C">
        <w:trPr>
          <w:trHeight w:val="227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tabs>
                <w:tab w:val="left" w:pos="25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Access to public transport (PTAL) </w:t>
            </w: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53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(1.8)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(1.8)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(1.9)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(1.8)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(1.8)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(1.9)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(1.8)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(1.8)</w:t>
            </w:r>
          </w:p>
        </w:tc>
      </w:tr>
      <w:tr w:rsidR="00AF68EF" w:rsidRPr="00034540" w:rsidTr="009D705C">
        <w:trPr>
          <w:trHeight w:val="227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tabs>
                <w:tab w:val="left" w:pos="25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Walkability </w:t>
            </w: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en-GB"/>
              </w:rPr>
              <w:t>4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53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(2.5)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(2.6)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(1.9)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-0.2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(2.3)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(2.7)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(2.7)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(2.8)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(2.3)</w:t>
            </w:r>
          </w:p>
        </w:tc>
      </w:tr>
      <w:tr w:rsidR="00AF68EF" w:rsidRPr="00034540" w:rsidTr="009D705C">
        <w:trPr>
          <w:trHeight w:val="227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tabs>
                <w:tab w:val="left" w:pos="25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ab/>
              <w:t xml:space="preserve">Land use mix </w:t>
            </w: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en-GB"/>
              </w:rPr>
              <w:t>5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53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(0.2)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(0.2)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(0.2)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(0.2)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(0.2)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(0.2)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(0.2)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(0.2)</w:t>
            </w:r>
          </w:p>
        </w:tc>
      </w:tr>
      <w:tr w:rsidR="00AF68EF" w:rsidRPr="00034540" w:rsidTr="009D705C">
        <w:trPr>
          <w:trHeight w:val="227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tabs>
                <w:tab w:val="left" w:pos="25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ab/>
              <w:t xml:space="preserve">Residential density </w:t>
            </w: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vertAlign w:val="superscript"/>
                <w:lang w:eastAsia="en-GB"/>
              </w:rPr>
              <w:t>6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53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(6)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(8)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(4)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(5)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(6)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(9)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(6)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(8)</w:t>
            </w:r>
          </w:p>
        </w:tc>
      </w:tr>
      <w:tr w:rsidR="00AF68EF" w:rsidRPr="00034540" w:rsidTr="009D705C">
        <w:trPr>
          <w:trHeight w:val="227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tabs>
                <w:tab w:val="left" w:pos="25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ab/>
              <w:t xml:space="preserve">Street connectivity </w:t>
            </w: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vertAlign w:val="superscript"/>
                <w:lang w:eastAsia="en-GB"/>
              </w:rPr>
              <w:t>7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8.7</w:t>
            </w:r>
          </w:p>
        </w:tc>
        <w:tc>
          <w:tcPr>
            <w:tcW w:w="53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(1.2)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8.7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(1.1)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8.6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(1.0)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8.5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(1.0)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8.6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(1.3)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8.7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(1.3)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8.8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(1.2)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8.8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(1.0)</w:t>
            </w:r>
          </w:p>
        </w:tc>
      </w:tr>
      <w:tr w:rsidR="00AF68EF" w:rsidRPr="00034540" w:rsidTr="009D705C">
        <w:trPr>
          <w:trHeight w:val="227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tabs>
                <w:tab w:val="left" w:pos="25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n-GB"/>
              </w:rPr>
            </w:pPr>
          </w:p>
        </w:tc>
      </w:tr>
      <w:tr w:rsidR="00AF68EF" w:rsidRPr="00034540" w:rsidTr="009D705C">
        <w:trPr>
          <w:trHeight w:val="227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tabs>
                <w:tab w:val="left" w:pos="25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en-GB"/>
              </w:rPr>
              <w:t>East Village group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n-GB"/>
              </w:rPr>
            </w:pPr>
          </w:p>
        </w:tc>
      </w:tr>
      <w:tr w:rsidR="00AF68EF" w:rsidRPr="00034540" w:rsidTr="009D705C">
        <w:trPr>
          <w:trHeight w:val="227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tabs>
                <w:tab w:val="left" w:pos="25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414</w:t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441</w:t>
            </w:r>
          </w:p>
        </w:tc>
        <w:tc>
          <w:tcPr>
            <w:tcW w:w="149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49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174</w:t>
            </w:r>
          </w:p>
        </w:tc>
        <w:tc>
          <w:tcPr>
            <w:tcW w:w="149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47</w:t>
            </w:r>
          </w:p>
        </w:tc>
      </w:tr>
      <w:tr w:rsidR="00AF68EF" w:rsidRPr="00034540" w:rsidTr="009D705C">
        <w:trPr>
          <w:trHeight w:val="227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tabs>
                <w:tab w:val="left" w:pos="25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 xml:space="preserve">Distance to closest park (m) </w:t>
            </w: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659</w:t>
            </w:r>
          </w:p>
        </w:tc>
        <w:tc>
          <w:tcPr>
            <w:tcW w:w="53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(397)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(109)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622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(360)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(108)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696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(395)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(107)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713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(567)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(111)</w:t>
            </w:r>
          </w:p>
        </w:tc>
      </w:tr>
      <w:tr w:rsidR="00AF68EF" w:rsidRPr="00034540" w:rsidTr="009D705C">
        <w:trPr>
          <w:trHeight w:val="227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tabs>
                <w:tab w:val="left" w:pos="25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 xml:space="preserve">Access to public transport (PTAL) </w:t>
            </w: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53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(1.9)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6.1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(2.0)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(1.8)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6.5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(1.9)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(1.9)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5.9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(2.0)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(2.0)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(2.1)</w:t>
            </w:r>
          </w:p>
        </w:tc>
      </w:tr>
      <w:tr w:rsidR="00AF68EF" w:rsidRPr="00034540" w:rsidTr="009D705C">
        <w:trPr>
          <w:trHeight w:val="227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tabs>
                <w:tab w:val="left" w:pos="25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 xml:space="preserve">Walkability </w:t>
            </w: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vertAlign w:val="superscript"/>
                <w:lang w:eastAsia="en-GB"/>
              </w:rPr>
              <w:t>4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-0.1</w:t>
            </w:r>
          </w:p>
        </w:tc>
        <w:tc>
          <w:tcPr>
            <w:tcW w:w="53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(2.7)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(0.8)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-0.6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(2.1)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(0.8)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(2.7)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(0.7)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(4.6)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3.0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(0.9)</w:t>
            </w:r>
          </w:p>
        </w:tc>
      </w:tr>
      <w:tr w:rsidR="00AF68EF" w:rsidRPr="00034540" w:rsidTr="009D705C">
        <w:trPr>
          <w:trHeight w:val="227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tabs>
                <w:tab w:val="left" w:pos="25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ab/>
              <w:t xml:space="preserve">Land use mix </w:t>
            </w: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vertAlign w:val="superscript"/>
                <w:lang w:eastAsia="en-GB"/>
              </w:rPr>
              <w:t>5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53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(0.2)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(0.1)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(0.1)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(0.1)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(0.2)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(0.1)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(0.3)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(0.1)</w:t>
            </w:r>
          </w:p>
        </w:tc>
      </w:tr>
      <w:tr w:rsidR="00AF68EF" w:rsidRPr="00034540" w:rsidTr="009D705C">
        <w:trPr>
          <w:trHeight w:val="227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tabs>
                <w:tab w:val="left" w:pos="25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ab/>
              <w:t xml:space="preserve">Residential density </w:t>
            </w: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vertAlign w:val="superscript"/>
                <w:lang w:eastAsia="en-GB"/>
              </w:rPr>
              <w:t>6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53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(6)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(11)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(4)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(11)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(6)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(10)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(9)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(13)</w:t>
            </w:r>
          </w:p>
        </w:tc>
      </w:tr>
      <w:tr w:rsidR="00AF68EF" w:rsidRPr="00034540" w:rsidTr="009D705C">
        <w:trPr>
          <w:trHeight w:val="227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tabs>
                <w:tab w:val="left" w:pos="25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ab/>
              <w:t xml:space="preserve">Street connectivity </w:t>
            </w: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en-GB"/>
              </w:rPr>
              <w:t>7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8.6</w:t>
            </w:r>
          </w:p>
        </w:tc>
        <w:tc>
          <w:tcPr>
            <w:tcW w:w="53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(1.2)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7.6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(0.4)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8.5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(1.1)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7.7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(0.5)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8.7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(1.2)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7.7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(0.4)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8.6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(1.9)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7.5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(0.3)</w:t>
            </w:r>
          </w:p>
        </w:tc>
      </w:tr>
      <w:tr w:rsidR="00AF68EF" w:rsidRPr="00034540" w:rsidTr="009D705C">
        <w:trPr>
          <w:trHeight w:val="227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F68EF" w:rsidRPr="00034540" w:rsidRDefault="00AF68EF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AF68EF" w:rsidRPr="00EF61DC" w:rsidRDefault="00AF68EF" w:rsidP="00AF68EF">
      <w:pPr>
        <w:spacing w:after="0" w:line="240" w:lineRule="auto"/>
        <w:rPr>
          <w:rFonts w:asciiTheme="minorHAnsi" w:hAnsiTheme="minorHAnsi"/>
          <w:sz w:val="18"/>
          <w:szCs w:val="18"/>
        </w:rPr>
      </w:pPr>
      <w:r w:rsidRPr="00EF61DC">
        <w:rPr>
          <w:rFonts w:asciiTheme="minorHAnsi" w:hAnsiTheme="minorHAnsi"/>
          <w:sz w:val="18"/>
          <w:szCs w:val="18"/>
        </w:rPr>
        <w:lastRenderedPageBreak/>
        <w:t>1. Neighbourhood perception scores from exploratory factor analysis on 14 neighbourhood perception items in the questionnaire. A higher score indicates perception of less crime and higher quality in the neighbourhood.</w:t>
      </w:r>
    </w:p>
    <w:p w:rsidR="00AF68EF" w:rsidRPr="00EF61DC" w:rsidRDefault="00AF68EF" w:rsidP="00AF68EF">
      <w:pPr>
        <w:spacing w:after="0" w:line="240" w:lineRule="auto"/>
        <w:rPr>
          <w:rFonts w:asciiTheme="minorHAnsi" w:hAnsiTheme="minorHAnsi"/>
          <w:sz w:val="18"/>
          <w:szCs w:val="18"/>
        </w:rPr>
      </w:pPr>
      <w:r w:rsidRPr="00EF61DC">
        <w:rPr>
          <w:rFonts w:asciiTheme="minorHAnsi" w:hAnsiTheme="minorHAnsi"/>
          <w:sz w:val="18"/>
          <w:szCs w:val="18"/>
        </w:rPr>
        <w:t>2. Distance to closest park from choice of local, district and metropolitan parks.</w:t>
      </w:r>
    </w:p>
    <w:p w:rsidR="00AF68EF" w:rsidRPr="00EF61DC" w:rsidRDefault="00AF68EF" w:rsidP="00AF68EF">
      <w:pPr>
        <w:spacing w:after="0" w:line="240" w:lineRule="auto"/>
        <w:rPr>
          <w:rFonts w:asciiTheme="minorHAnsi" w:hAnsiTheme="minorHAnsi"/>
          <w:sz w:val="18"/>
          <w:szCs w:val="18"/>
        </w:rPr>
      </w:pPr>
      <w:r w:rsidRPr="00EF61DC">
        <w:rPr>
          <w:rFonts w:asciiTheme="minorHAnsi" w:hAnsiTheme="minorHAnsi"/>
          <w:sz w:val="18"/>
          <w:szCs w:val="18"/>
        </w:rPr>
        <w:t>3. PTAL is a Transport for London (TfL) score assessing the availability of public transport options. A high score indicates good public transport links.</w:t>
      </w:r>
    </w:p>
    <w:p w:rsidR="00AF68EF" w:rsidRPr="00EF61DC" w:rsidRDefault="00AF68EF" w:rsidP="00AF68EF">
      <w:pPr>
        <w:spacing w:after="0" w:line="240" w:lineRule="auto"/>
        <w:rPr>
          <w:rFonts w:asciiTheme="minorHAnsi" w:hAnsiTheme="minorHAnsi"/>
          <w:sz w:val="18"/>
          <w:szCs w:val="18"/>
        </w:rPr>
      </w:pPr>
      <w:r w:rsidRPr="00EF61DC">
        <w:rPr>
          <w:rFonts w:asciiTheme="minorHAnsi" w:hAnsiTheme="minorHAnsi"/>
          <w:sz w:val="18"/>
          <w:szCs w:val="18"/>
        </w:rPr>
        <w:t>4. Walkability: The sum of three z-transformed variables, land use mix, residential density and street connectivity.</w:t>
      </w:r>
    </w:p>
    <w:p w:rsidR="00AF68EF" w:rsidRPr="00EF61DC" w:rsidRDefault="00AF68EF" w:rsidP="00AF68EF">
      <w:pPr>
        <w:spacing w:after="0" w:line="240" w:lineRule="auto"/>
        <w:rPr>
          <w:rFonts w:asciiTheme="minorHAnsi" w:hAnsiTheme="minorHAnsi"/>
          <w:sz w:val="18"/>
          <w:szCs w:val="18"/>
        </w:rPr>
      </w:pPr>
      <w:r w:rsidRPr="00EF61DC">
        <w:rPr>
          <w:rFonts w:asciiTheme="minorHAnsi" w:hAnsiTheme="minorHAnsi"/>
          <w:sz w:val="18"/>
          <w:szCs w:val="18"/>
        </w:rPr>
        <w:t>5. Land use mix: The heterogeneity with which five functionally different land uses (residential, commercial, office, entertainment and institutional) are co-located in space. Values are normalised between 0 and 1 where 0 indicates single use and 1 indicates a perfectly even distribution of square footage across the different types of land use.</w:t>
      </w:r>
    </w:p>
    <w:p w:rsidR="00AF68EF" w:rsidRPr="00EF61DC" w:rsidRDefault="00AF68EF" w:rsidP="00AF68EF">
      <w:pPr>
        <w:spacing w:after="0" w:line="240" w:lineRule="auto"/>
        <w:rPr>
          <w:rFonts w:asciiTheme="minorHAnsi" w:hAnsiTheme="minorHAnsi"/>
          <w:sz w:val="18"/>
          <w:szCs w:val="18"/>
        </w:rPr>
      </w:pPr>
      <w:r w:rsidRPr="00EF61DC">
        <w:rPr>
          <w:rFonts w:asciiTheme="minorHAnsi" w:hAnsiTheme="minorHAnsi"/>
          <w:sz w:val="18"/>
          <w:szCs w:val="18"/>
        </w:rPr>
        <w:t>6. Residential density: The number of residential units (RU) per km</w:t>
      </w:r>
      <w:r w:rsidRPr="00EF61DC">
        <w:rPr>
          <w:rFonts w:asciiTheme="minorHAnsi" w:hAnsiTheme="minorHAnsi"/>
          <w:sz w:val="18"/>
          <w:szCs w:val="18"/>
          <w:vertAlign w:val="superscript"/>
        </w:rPr>
        <w:t>2</w:t>
      </w:r>
      <w:r w:rsidRPr="00EF61DC">
        <w:rPr>
          <w:rFonts w:asciiTheme="minorHAnsi" w:hAnsiTheme="minorHAnsi"/>
          <w:sz w:val="18"/>
          <w:szCs w:val="18"/>
        </w:rPr>
        <w:t xml:space="preserve"> of land devoted to residential use, including residential building footprint and attached gardens, expressed in 1000 RU/km</w:t>
      </w:r>
      <w:r w:rsidRPr="00EF61DC">
        <w:rPr>
          <w:rFonts w:asciiTheme="minorHAnsi" w:hAnsiTheme="minorHAnsi"/>
          <w:sz w:val="18"/>
          <w:szCs w:val="18"/>
          <w:vertAlign w:val="superscript"/>
        </w:rPr>
        <w:t>2</w:t>
      </w:r>
    </w:p>
    <w:p w:rsidR="00AF68EF" w:rsidRPr="00EF61DC" w:rsidRDefault="00AF68EF" w:rsidP="00AF68EF">
      <w:pPr>
        <w:spacing w:after="0" w:line="240" w:lineRule="auto"/>
        <w:rPr>
          <w:rFonts w:asciiTheme="minorHAnsi" w:hAnsiTheme="minorHAnsi"/>
          <w:sz w:val="18"/>
          <w:szCs w:val="18"/>
        </w:rPr>
      </w:pPr>
      <w:r w:rsidRPr="00EF61DC">
        <w:rPr>
          <w:rFonts w:asciiTheme="minorHAnsi" w:hAnsiTheme="minorHAnsi"/>
          <w:sz w:val="18"/>
          <w:szCs w:val="18"/>
        </w:rPr>
        <w:t>7. Street connectivity: The number of intersections per km of road.</w:t>
      </w:r>
    </w:p>
    <w:p w:rsidR="0074303A" w:rsidRDefault="0074303A">
      <w:bookmarkStart w:id="1" w:name="_GoBack"/>
      <w:bookmarkEnd w:id="1"/>
    </w:p>
    <w:sectPr w:rsidR="0074303A" w:rsidSect="00AF68E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EF"/>
    <w:rsid w:val="000C5582"/>
    <w:rsid w:val="001E11CA"/>
    <w:rsid w:val="005A7A07"/>
    <w:rsid w:val="005C70EA"/>
    <w:rsid w:val="0074303A"/>
    <w:rsid w:val="00A06DA8"/>
    <w:rsid w:val="00AC7937"/>
    <w:rsid w:val="00AD3135"/>
    <w:rsid w:val="00AF68EF"/>
    <w:rsid w:val="00B5216B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CEDB4F9-486D-4542-8B49-D9FB77F1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8EF"/>
    <w:pPr>
      <w:spacing w:after="160" w:line="360" w:lineRule="auto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AF68EF"/>
    <w:pPr>
      <w:spacing w:after="200" w:line="240" w:lineRule="auto"/>
    </w:pPr>
    <w:rPr>
      <w:b/>
      <w:iCs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AF68EF"/>
    <w:rPr>
      <w:rFonts w:ascii="Arial" w:hAnsi="Arial"/>
      <w:b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3066</Characters>
  <Application>Microsoft Office Word</Application>
  <DocSecurity>0</DocSecurity>
  <Lines>25</Lines>
  <Paragraphs>7</Paragraphs>
  <ScaleCrop>false</ScaleCrop>
  <Company>Prepress Projects Ltd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Furey</dc:creator>
  <cp:keywords/>
  <dc:description/>
  <cp:lastModifiedBy>Claire Furey</cp:lastModifiedBy>
  <cp:revision>1</cp:revision>
  <dcterms:created xsi:type="dcterms:W3CDTF">2020-02-12T10:02:00Z</dcterms:created>
  <dcterms:modified xsi:type="dcterms:W3CDTF">2020-02-12T10:02:00Z</dcterms:modified>
</cp:coreProperties>
</file>